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CD" w:rsidRDefault="004C61CD" w:rsidP="004C61CD">
      <w:pPr>
        <w:rPr>
          <w:rFonts w:ascii="Arial" w:hAnsi="Arial"/>
        </w:rPr>
      </w:pPr>
      <w:bookmarkStart w:id="0" w:name="_GoBack"/>
      <w:bookmarkEnd w:id="0"/>
      <w:r>
        <w:rPr>
          <w:rFonts w:ascii="Arial" w:hAnsi="Arial"/>
          <w:b/>
        </w:rPr>
        <w:t xml:space="preserve">Purpose:  </w:t>
      </w:r>
      <w:r>
        <w:rPr>
          <w:rFonts w:ascii="Arial" w:hAnsi="Arial"/>
        </w:rPr>
        <w:t>The table below identifies the position responsible for the document to be signed and the limit of signature authority.</w:t>
      </w:r>
    </w:p>
    <w:p w:rsidR="004C61CD" w:rsidRDefault="004C61CD" w:rsidP="004C61CD">
      <w:pPr>
        <w:rPr>
          <w:rFonts w:ascii="Arial" w:hAnsi="Arial"/>
        </w:rPr>
      </w:pPr>
    </w:p>
    <w:p w:rsidR="004C61CD" w:rsidRPr="00E35AD8" w:rsidRDefault="004C61CD" w:rsidP="004C61CD">
      <w:pPr>
        <w:rPr>
          <w:rFonts w:ascii="Arial" w:hAnsi="Arial"/>
        </w:rPr>
      </w:pPr>
      <w:r>
        <w:rPr>
          <w:rFonts w:ascii="Arial" w:hAnsi="Arial"/>
          <w:b/>
        </w:rPr>
        <w:t>Persons Responsible:</w:t>
      </w:r>
      <w:r>
        <w:rPr>
          <w:rFonts w:ascii="Arial" w:hAnsi="Arial"/>
          <w:b/>
        </w:rPr>
        <w:tab/>
      </w:r>
      <w:r>
        <w:rPr>
          <w:rFonts w:ascii="Arial" w:hAnsi="Arial"/>
        </w:rPr>
        <w:t>Rehabilitation/BEN staff as indicated</w:t>
      </w:r>
    </w:p>
    <w:p w:rsidR="004C61CD" w:rsidRDefault="004C61CD" w:rsidP="004C61CD">
      <w:pPr>
        <w:rPr>
          <w:rFonts w:ascii="Arial" w:hAnsi="Arial"/>
        </w:rPr>
      </w:pPr>
    </w:p>
    <w:p w:rsidR="004C61CD" w:rsidRDefault="004C61CD" w:rsidP="004C61C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5634"/>
        <w:gridCol w:w="1724"/>
      </w:tblGrid>
      <w:tr w:rsidR="004C61CD" w:rsidRPr="003161E4" w:rsidTr="003161E4">
        <w:tc>
          <w:tcPr>
            <w:tcW w:w="0" w:type="auto"/>
            <w:shd w:val="clear" w:color="auto" w:fill="auto"/>
          </w:tcPr>
          <w:p w:rsidR="004C61CD" w:rsidRPr="003161E4" w:rsidRDefault="004C61CD" w:rsidP="003161E4">
            <w:pPr>
              <w:rPr>
                <w:rFonts w:ascii="Arial" w:hAnsi="Arial"/>
                <w:u w:val="single"/>
              </w:rPr>
            </w:pPr>
            <w:r w:rsidRPr="003161E4">
              <w:rPr>
                <w:rFonts w:ascii="Arial" w:hAnsi="Arial"/>
                <w:u w:val="single"/>
              </w:rPr>
              <w:t>POSITION</w:t>
            </w:r>
          </w:p>
          <w:p w:rsidR="004C61CD" w:rsidRPr="003161E4" w:rsidRDefault="004C61CD" w:rsidP="003161E4">
            <w:pPr>
              <w:rPr>
                <w:rFonts w:ascii="Arial" w:hAnsi="Arial"/>
              </w:rPr>
            </w:pPr>
            <w:r w:rsidRPr="003161E4">
              <w:rPr>
                <w:rFonts w:ascii="Arial" w:hAnsi="Arial"/>
                <w:u w:val="single"/>
              </w:rPr>
              <w:t>RESPONSIBLE</w:t>
            </w:r>
          </w:p>
        </w:tc>
        <w:tc>
          <w:tcPr>
            <w:tcW w:w="0" w:type="auto"/>
            <w:shd w:val="clear" w:color="auto" w:fill="auto"/>
          </w:tcPr>
          <w:p w:rsidR="004C61CD" w:rsidRPr="003161E4" w:rsidRDefault="004C61CD" w:rsidP="003161E4">
            <w:pPr>
              <w:jc w:val="center"/>
              <w:rPr>
                <w:rFonts w:ascii="Arial" w:hAnsi="Arial"/>
                <w:u w:val="single"/>
              </w:rPr>
            </w:pPr>
            <w:r w:rsidRPr="003161E4">
              <w:rPr>
                <w:rFonts w:ascii="Arial" w:hAnsi="Arial"/>
                <w:u w:val="single"/>
              </w:rPr>
              <w:t>DOCUMENT</w:t>
            </w:r>
          </w:p>
        </w:tc>
        <w:tc>
          <w:tcPr>
            <w:tcW w:w="0" w:type="auto"/>
            <w:shd w:val="clear" w:color="auto" w:fill="auto"/>
          </w:tcPr>
          <w:p w:rsidR="004C61CD" w:rsidRPr="003161E4" w:rsidRDefault="004C61CD" w:rsidP="003161E4">
            <w:pPr>
              <w:rPr>
                <w:rFonts w:ascii="Arial" w:hAnsi="Arial"/>
                <w:u w:val="single"/>
              </w:rPr>
            </w:pPr>
            <w:r w:rsidRPr="003161E4">
              <w:rPr>
                <w:rFonts w:ascii="Arial" w:hAnsi="Arial"/>
                <w:u w:val="single"/>
              </w:rPr>
              <w:t>LIMIT OF AUTHORITY</w:t>
            </w:r>
          </w:p>
        </w:tc>
      </w:tr>
      <w:tr w:rsidR="004C61CD" w:rsidRPr="003161E4" w:rsidTr="003161E4">
        <w:tc>
          <w:tcPr>
            <w:tcW w:w="0" w:type="auto"/>
            <w:shd w:val="clear" w:color="auto" w:fill="auto"/>
          </w:tcPr>
          <w:p w:rsidR="004C61CD" w:rsidRPr="003161E4" w:rsidRDefault="004C61CD" w:rsidP="003161E4">
            <w:pPr>
              <w:rPr>
                <w:rFonts w:ascii="Arial" w:hAnsi="Arial"/>
              </w:rPr>
            </w:pPr>
            <w:r w:rsidRPr="003161E4">
              <w:rPr>
                <w:rFonts w:ascii="Arial" w:hAnsi="Arial"/>
              </w:rPr>
              <w:t>Administrator</w:t>
            </w:r>
          </w:p>
        </w:tc>
        <w:tc>
          <w:tcPr>
            <w:tcW w:w="0" w:type="auto"/>
            <w:shd w:val="clear" w:color="auto" w:fill="auto"/>
          </w:tcPr>
          <w:p w:rsidR="004C61CD" w:rsidRPr="003161E4" w:rsidRDefault="004C61CD" w:rsidP="003161E4">
            <w:pPr>
              <w:rPr>
                <w:rFonts w:ascii="Arial" w:hAnsi="Arial"/>
              </w:rPr>
            </w:pPr>
            <w:r w:rsidRPr="003161E4">
              <w:rPr>
                <w:rFonts w:ascii="Arial" w:hAnsi="Arial"/>
              </w:rPr>
              <w:t>No Limitations</w:t>
            </w:r>
          </w:p>
        </w:tc>
        <w:tc>
          <w:tcPr>
            <w:tcW w:w="0" w:type="auto"/>
            <w:shd w:val="clear" w:color="auto" w:fill="auto"/>
          </w:tcPr>
          <w:p w:rsidR="004C61CD" w:rsidRPr="003161E4" w:rsidRDefault="004C61CD" w:rsidP="003161E4">
            <w:pPr>
              <w:rPr>
                <w:rFonts w:ascii="Arial" w:hAnsi="Arial"/>
              </w:rPr>
            </w:pPr>
            <w:r w:rsidRPr="003161E4">
              <w:rPr>
                <w:rFonts w:ascii="Arial" w:hAnsi="Arial"/>
              </w:rPr>
              <w:t>No Limitation</w:t>
            </w:r>
          </w:p>
          <w:p w:rsidR="004C61CD" w:rsidRPr="003161E4" w:rsidRDefault="004C61CD" w:rsidP="003161E4">
            <w:pPr>
              <w:rPr>
                <w:rFonts w:ascii="Arial" w:hAnsi="Arial"/>
              </w:rPr>
            </w:pPr>
          </w:p>
        </w:tc>
      </w:tr>
      <w:tr w:rsidR="004C61CD" w:rsidRPr="003161E4" w:rsidTr="003161E4">
        <w:tc>
          <w:tcPr>
            <w:tcW w:w="0" w:type="auto"/>
            <w:shd w:val="clear" w:color="auto" w:fill="auto"/>
          </w:tcPr>
          <w:p w:rsidR="004C61CD" w:rsidRPr="003161E4" w:rsidRDefault="004C61CD" w:rsidP="003161E4">
            <w:pPr>
              <w:rPr>
                <w:rFonts w:ascii="Arial" w:hAnsi="Arial"/>
              </w:rPr>
            </w:pPr>
            <w:r w:rsidRPr="003161E4">
              <w:rPr>
                <w:rFonts w:ascii="Arial" w:hAnsi="Arial"/>
              </w:rPr>
              <w:t xml:space="preserve">Deputy </w:t>
            </w:r>
          </w:p>
          <w:p w:rsidR="004C61CD" w:rsidRPr="003161E4" w:rsidRDefault="004C61CD" w:rsidP="003161E4">
            <w:pPr>
              <w:rPr>
                <w:rFonts w:ascii="Arial" w:hAnsi="Arial"/>
              </w:rPr>
            </w:pPr>
            <w:r w:rsidRPr="003161E4">
              <w:rPr>
                <w:rFonts w:ascii="Arial" w:hAnsi="Arial"/>
              </w:rPr>
              <w:t>Administrator</w:t>
            </w:r>
          </w:p>
        </w:tc>
        <w:tc>
          <w:tcPr>
            <w:tcW w:w="0" w:type="auto"/>
            <w:shd w:val="clear" w:color="auto" w:fill="auto"/>
          </w:tcPr>
          <w:p w:rsidR="004C61CD" w:rsidRPr="003161E4" w:rsidRDefault="004C61CD" w:rsidP="003161E4">
            <w:pPr>
              <w:rPr>
                <w:rFonts w:ascii="Arial" w:hAnsi="Arial"/>
              </w:rPr>
            </w:pPr>
            <w:r w:rsidRPr="003161E4">
              <w:rPr>
                <w:rFonts w:ascii="Arial" w:hAnsi="Arial"/>
              </w:rPr>
              <w:t>No Limitations</w:t>
            </w:r>
          </w:p>
        </w:tc>
        <w:tc>
          <w:tcPr>
            <w:tcW w:w="0" w:type="auto"/>
            <w:shd w:val="clear" w:color="auto" w:fill="auto"/>
          </w:tcPr>
          <w:p w:rsidR="004C61CD" w:rsidRPr="003161E4" w:rsidRDefault="004C61CD" w:rsidP="003161E4">
            <w:pPr>
              <w:rPr>
                <w:rFonts w:ascii="Arial" w:hAnsi="Arial"/>
              </w:rPr>
            </w:pPr>
            <w:r w:rsidRPr="003161E4">
              <w:rPr>
                <w:rFonts w:ascii="Arial" w:hAnsi="Arial"/>
              </w:rPr>
              <w:t>No Limitation</w:t>
            </w:r>
          </w:p>
          <w:p w:rsidR="004C61CD" w:rsidRPr="003161E4" w:rsidRDefault="004C61CD" w:rsidP="003161E4">
            <w:pPr>
              <w:rPr>
                <w:rFonts w:ascii="Arial" w:hAnsi="Arial"/>
              </w:rPr>
            </w:pPr>
          </w:p>
        </w:tc>
      </w:tr>
      <w:tr w:rsidR="004C61CD" w:rsidRPr="003161E4" w:rsidTr="003161E4">
        <w:tc>
          <w:tcPr>
            <w:tcW w:w="0" w:type="auto"/>
            <w:shd w:val="clear" w:color="auto" w:fill="auto"/>
          </w:tcPr>
          <w:p w:rsidR="004C61CD" w:rsidRPr="003161E4" w:rsidRDefault="004C61CD" w:rsidP="003161E4">
            <w:pPr>
              <w:rPr>
                <w:rFonts w:ascii="Arial" w:hAnsi="Arial"/>
              </w:rPr>
            </w:pPr>
          </w:p>
          <w:p w:rsidR="004C61CD" w:rsidRPr="003161E4" w:rsidRDefault="004C61CD" w:rsidP="003161E4">
            <w:pPr>
              <w:rPr>
                <w:rFonts w:ascii="Arial" w:hAnsi="Arial"/>
              </w:rPr>
            </w:pPr>
            <w:r w:rsidRPr="003161E4">
              <w:rPr>
                <w:rFonts w:ascii="Arial" w:hAnsi="Arial"/>
              </w:rPr>
              <w:t>PROGRAM       CHIEF</w:t>
            </w:r>
          </w:p>
        </w:tc>
        <w:tc>
          <w:tcPr>
            <w:tcW w:w="0" w:type="auto"/>
            <w:shd w:val="clear" w:color="auto" w:fill="auto"/>
          </w:tcPr>
          <w:p w:rsidR="004C61CD" w:rsidRPr="003161E4" w:rsidRDefault="004C61CD" w:rsidP="003161E4">
            <w:pPr>
              <w:rPr>
                <w:rFonts w:ascii="Arial" w:hAnsi="Arial"/>
              </w:rPr>
            </w:pPr>
            <w:r w:rsidRPr="003161E4">
              <w:rPr>
                <w:rFonts w:ascii="Arial" w:hAnsi="Arial"/>
              </w:rPr>
              <w:t xml:space="preserve">Purchase orders for:  categories 04 and 10 for </w:t>
            </w:r>
          </w:p>
          <w:p w:rsidR="004C61CD" w:rsidRPr="003161E4" w:rsidRDefault="004C61CD" w:rsidP="003161E4">
            <w:pPr>
              <w:rPr>
                <w:rFonts w:ascii="Arial" w:hAnsi="Arial"/>
              </w:rPr>
            </w:pPr>
            <w:r w:rsidRPr="003161E4">
              <w:rPr>
                <w:rFonts w:ascii="Arial" w:hAnsi="Arial"/>
              </w:rPr>
              <w:t>repair, replacement or maintenance of equipment; equipment/supplies purchases; site repairs/improvements; vending commissions for operators; professional services; promissory notes; B&amp;G service requests; category 16 medical reimbursements and retirement disbursements.</w:t>
            </w:r>
          </w:p>
        </w:tc>
        <w:tc>
          <w:tcPr>
            <w:tcW w:w="0" w:type="auto"/>
            <w:shd w:val="clear" w:color="auto" w:fill="auto"/>
          </w:tcPr>
          <w:p w:rsidR="004C61CD" w:rsidRPr="003161E4" w:rsidRDefault="004C61CD" w:rsidP="003161E4">
            <w:pPr>
              <w:rPr>
                <w:rFonts w:ascii="Arial" w:hAnsi="Arial"/>
              </w:rPr>
            </w:pPr>
            <w:r w:rsidRPr="003161E4">
              <w:rPr>
                <w:rFonts w:ascii="Arial" w:hAnsi="Arial"/>
              </w:rPr>
              <w:t>$20,000</w:t>
            </w:r>
          </w:p>
        </w:tc>
      </w:tr>
      <w:tr w:rsidR="004C61CD" w:rsidRPr="003161E4" w:rsidTr="003161E4">
        <w:tc>
          <w:tcPr>
            <w:tcW w:w="0" w:type="auto"/>
            <w:shd w:val="clear" w:color="auto" w:fill="auto"/>
          </w:tcPr>
          <w:p w:rsidR="004C61CD" w:rsidRPr="003161E4" w:rsidRDefault="004C61CD" w:rsidP="003161E4">
            <w:pPr>
              <w:rPr>
                <w:rFonts w:ascii="Arial" w:hAnsi="Arial"/>
              </w:rPr>
            </w:pPr>
            <w:r w:rsidRPr="003161E4">
              <w:rPr>
                <w:rFonts w:ascii="Arial" w:hAnsi="Arial"/>
              </w:rPr>
              <w:t>BEO II</w:t>
            </w:r>
          </w:p>
        </w:tc>
        <w:tc>
          <w:tcPr>
            <w:tcW w:w="0" w:type="auto"/>
            <w:shd w:val="clear" w:color="auto" w:fill="auto"/>
          </w:tcPr>
          <w:p w:rsidR="004C61CD" w:rsidRPr="003161E4" w:rsidRDefault="004C61CD" w:rsidP="003161E4">
            <w:pPr>
              <w:rPr>
                <w:rFonts w:ascii="Arial" w:hAnsi="Arial"/>
              </w:rPr>
            </w:pPr>
            <w:r w:rsidRPr="003161E4">
              <w:rPr>
                <w:rFonts w:ascii="Arial" w:hAnsi="Arial"/>
              </w:rPr>
              <w:t>Purchase orders for categories 04 and 10 for repair,</w:t>
            </w:r>
          </w:p>
          <w:p w:rsidR="004C61CD" w:rsidRPr="003161E4" w:rsidRDefault="004C61CD" w:rsidP="003161E4">
            <w:pPr>
              <w:rPr>
                <w:rFonts w:ascii="Arial" w:hAnsi="Arial"/>
              </w:rPr>
            </w:pPr>
            <w:r w:rsidRPr="003161E4">
              <w:rPr>
                <w:rFonts w:ascii="Arial" w:hAnsi="Arial"/>
              </w:rPr>
              <w:t>Replacement or maintenance of equipment; equipment purchases; site repairs/improvements; vending commissions for operators; professional services; promissory notes; B&amp;G service requests; category 16 medical reimbursements.</w:t>
            </w:r>
          </w:p>
        </w:tc>
        <w:tc>
          <w:tcPr>
            <w:tcW w:w="0" w:type="auto"/>
            <w:shd w:val="clear" w:color="auto" w:fill="auto"/>
          </w:tcPr>
          <w:p w:rsidR="004C61CD" w:rsidRPr="003161E4" w:rsidRDefault="004C61CD" w:rsidP="003161E4">
            <w:pPr>
              <w:rPr>
                <w:rFonts w:ascii="Arial" w:hAnsi="Arial"/>
              </w:rPr>
            </w:pPr>
            <w:r w:rsidRPr="003161E4">
              <w:rPr>
                <w:rFonts w:ascii="Arial" w:hAnsi="Arial"/>
              </w:rPr>
              <w:t>$15,000</w:t>
            </w:r>
          </w:p>
        </w:tc>
      </w:tr>
      <w:tr w:rsidR="004C61CD" w:rsidRPr="003161E4" w:rsidTr="003161E4">
        <w:tc>
          <w:tcPr>
            <w:tcW w:w="0" w:type="auto"/>
            <w:shd w:val="clear" w:color="auto" w:fill="auto"/>
          </w:tcPr>
          <w:p w:rsidR="004C61CD" w:rsidRPr="003161E4" w:rsidRDefault="004C61CD" w:rsidP="003161E4">
            <w:pPr>
              <w:rPr>
                <w:rFonts w:ascii="Arial" w:hAnsi="Arial"/>
              </w:rPr>
            </w:pPr>
            <w:r w:rsidRPr="003161E4">
              <w:rPr>
                <w:rFonts w:ascii="Arial" w:hAnsi="Arial"/>
              </w:rPr>
              <w:t>BEO I</w:t>
            </w:r>
          </w:p>
        </w:tc>
        <w:tc>
          <w:tcPr>
            <w:tcW w:w="0" w:type="auto"/>
            <w:shd w:val="clear" w:color="auto" w:fill="auto"/>
          </w:tcPr>
          <w:p w:rsidR="004C61CD" w:rsidRPr="003161E4" w:rsidRDefault="004C61CD" w:rsidP="003161E4">
            <w:pPr>
              <w:rPr>
                <w:rFonts w:ascii="Arial" w:hAnsi="Arial"/>
              </w:rPr>
            </w:pPr>
            <w:r w:rsidRPr="003161E4">
              <w:rPr>
                <w:rFonts w:ascii="Arial" w:hAnsi="Arial"/>
              </w:rPr>
              <w:t>Purchase orders for category 10 for repair, maintenance</w:t>
            </w:r>
          </w:p>
          <w:p w:rsidR="004C61CD" w:rsidRPr="003161E4" w:rsidRDefault="004C61CD" w:rsidP="003161E4">
            <w:pPr>
              <w:rPr>
                <w:rFonts w:ascii="Arial" w:hAnsi="Arial"/>
              </w:rPr>
            </w:pPr>
            <w:r w:rsidRPr="003161E4">
              <w:rPr>
                <w:rFonts w:ascii="Arial" w:hAnsi="Arial"/>
              </w:rPr>
              <w:t>And replacement of equipment; equipment purchases; site repairs/improvement; B&amp;G service requests; vending commissions for operators; professional services; promissory notes; category 16 for health reimbursements and retirement disbursements.</w:t>
            </w:r>
          </w:p>
        </w:tc>
        <w:tc>
          <w:tcPr>
            <w:tcW w:w="0" w:type="auto"/>
            <w:shd w:val="clear" w:color="auto" w:fill="auto"/>
          </w:tcPr>
          <w:p w:rsidR="004C61CD" w:rsidRPr="003161E4" w:rsidRDefault="004C61CD" w:rsidP="003161E4">
            <w:pPr>
              <w:rPr>
                <w:rFonts w:ascii="Arial" w:hAnsi="Arial"/>
              </w:rPr>
            </w:pPr>
            <w:r w:rsidRPr="003161E4">
              <w:rPr>
                <w:rFonts w:ascii="Arial" w:hAnsi="Arial"/>
              </w:rPr>
              <w:t>$5,000</w:t>
            </w:r>
          </w:p>
          <w:p w:rsidR="004C61CD" w:rsidRPr="003161E4" w:rsidRDefault="004C61CD" w:rsidP="003161E4">
            <w:pPr>
              <w:rPr>
                <w:rFonts w:ascii="Arial" w:hAnsi="Arial"/>
              </w:rPr>
            </w:pPr>
          </w:p>
        </w:tc>
      </w:tr>
      <w:tr w:rsidR="004C61CD" w:rsidRPr="003161E4" w:rsidTr="003161E4">
        <w:tc>
          <w:tcPr>
            <w:tcW w:w="0" w:type="auto"/>
            <w:shd w:val="clear" w:color="auto" w:fill="auto"/>
          </w:tcPr>
          <w:p w:rsidR="004C61CD" w:rsidRPr="003161E4" w:rsidRDefault="009C75EE" w:rsidP="003161E4">
            <w:pPr>
              <w:rPr>
                <w:rFonts w:ascii="Arial" w:hAnsi="Arial"/>
              </w:rPr>
            </w:pPr>
            <w:r>
              <w:rPr>
                <w:rFonts w:ascii="Arial" w:hAnsi="Arial"/>
              </w:rPr>
              <w:t>AAIV</w:t>
            </w:r>
          </w:p>
        </w:tc>
        <w:tc>
          <w:tcPr>
            <w:tcW w:w="0" w:type="auto"/>
            <w:shd w:val="clear" w:color="auto" w:fill="auto"/>
          </w:tcPr>
          <w:p w:rsidR="004C61CD" w:rsidRPr="003161E4" w:rsidRDefault="004C61CD" w:rsidP="003161E4">
            <w:pPr>
              <w:rPr>
                <w:rFonts w:ascii="Arial" w:hAnsi="Arial"/>
              </w:rPr>
            </w:pPr>
            <w:r w:rsidRPr="003161E4">
              <w:rPr>
                <w:rFonts w:ascii="Arial" w:hAnsi="Arial"/>
              </w:rPr>
              <w:t>Purchase orders for: category 10 repair and maintenance of equipment; professional services; site repairs/improvements; categories 10 and 04 for B&amp;G service requests; minor improvements for fixtures or building improvements.</w:t>
            </w:r>
          </w:p>
        </w:tc>
        <w:tc>
          <w:tcPr>
            <w:tcW w:w="0" w:type="auto"/>
            <w:shd w:val="clear" w:color="auto" w:fill="auto"/>
          </w:tcPr>
          <w:p w:rsidR="004C61CD" w:rsidRPr="003161E4" w:rsidRDefault="004C61CD" w:rsidP="003161E4">
            <w:pPr>
              <w:rPr>
                <w:rFonts w:ascii="Arial" w:hAnsi="Arial"/>
              </w:rPr>
            </w:pPr>
            <w:r w:rsidRPr="003161E4">
              <w:rPr>
                <w:rFonts w:ascii="Arial" w:hAnsi="Arial"/>
              </w:rPr>
              <w:t>$2,000</w:t>
            </w:r>
          </w:p>
        </w:tc>
      </w:tr>
      <w:tr w:rsidR="004C61CD" w:rsidRPr="003161E4" w:rsidTr="003161E4">
        <w:tc>
          <w:tcPr>
            <w:tcW w:w="0" w:type="auto"/>
            <w:shd w:val="clear" w:color="auto" w:fill="auto"/>
          </w:tcPr>
          <w:p w:rsidR="004C61CD" w:rsidRPr="003161E4" w:rsidRDefault="004C61CD" w:rsidP="003161E4">
            <w:pPr>
              <w:rPr>
                <w:rFonts w:ascii="Arial" w:hAnsi="Arial"/>
              </w:rPr>
            </w:pPr>
            <w:r w:rsidRPr="003161E4">
              <w:rPr>
                <w:rFonts w:ascii="Arial" w:hAnsi="Arial"/>
              </w:rPr>
              <w:lastRenderedPageBreak/>
              <w:t>AAII</w:t>
            </w:r>
          </w:p>
        </w:tc>
        <w:tc>
          <w:tcPr>
            <w:tcW w:w="0" w:type="auto"/>
            <w:shd w:val="clear" w:color="auto" w:fill="auto"/>
          </w:tcPr>
          <w:p w:rsidR="004C61CD" w:rsidRPr="003161E4" w:rsidRDefault="004C61CD" w:rsidP="003161E4">
            <w:pPr>
              <w:rPr>
                <w:rFonts w:ascii="Arial" w:hAnsi="Arial"/>
              </w:rPr>
            </w:pPr>
            <w:r w:rsidRPr="003161E4">
              <w:rPr>
                <w:rFonts w:ascii="Arial" w:hAnsi="Arial"/>
              </w:rPr>
              <w:t>Purchase orders for: category 10 repair and maintenance and B&amp;G service requests.</w:t>
            </w:r>
          </w:p>
        </w:tc>
        <w:tc>
          <w:tcPr>
            <w:tcW w:w="0" w:type="auto"/>
            <w:shd w:val="clear" w:color="auto" w:fill="auto"/>
          </w:tcPr>
          <w:p w:rsidR="004C61CD" w:rsidRPr="003161E4" w:rsidRDefault="004C61CD" w:rsidP="003161E4">
            <w:pPr>
              <w:rPr>
                <w:rFonts w:ascii="Arial" w:hAnsi="Arial"/>
              </w:rPr>
            </w:pPr>
            <w:r w:rsidRPr="003161E4">
              <w:rPr>
                <w:rFonts w:ascii="Arial" w:hAnsi="Arial"/>
              </w:rPr>
              <w:t>$1,000</w:t>
            </w:r>
          </w:p>
        </w:tc>
      </w:tr>
    </w:tbl>
    <w:p w:rsidR="004C61CD" w:rsidRDefault="004C61CD" w:rsidP="004C61CD">
      <w:pPr>
        <w:rPr>
          <w:rFonts w:ascii="Arial" w:hAnsi="Arial"/>
        </w:rPr>
      </w:pPr>
    </w:p>
    <w:p w:rsidR="004C61CD" w:rsidRDefault="004C61CD" w:rsidP="004C61CD">
      <w:pPr>
        <w:rPr>
          <w:rFonts w:ascii="Arial" w:hAnsi="Arial"/>
        </w:rPr>
      </w:pPr>
    </w:p>
    <w:p w:rsidR="004C61CD" w:rsidRDefault="004C61CD" w:rsidP="004C61CD">
      <w:pPr>
        <w:rPr>
          <w:rFonts w:ascii="Arial" w:hAnsi="Arial"/>
        </w:rPr>
      </w:pPr>
      <w:r>
        <w:rPr>
          <w:rFonts w:ascii="Arial" w:hAnsi="Arial"/>
        </w:rPr>
        <w:t xml:space="preserve">REVOLVING FUND:  To request a revolving fund check, the Program Chief or BEO II prepares a memorandum requesting the check and </w:t>
      </w:r>
      <w:r w:rsidR="009C75EE">
        <w:rPr>
          <w:rFonts w:ascii="Arial" w:hAnsi="Arial"/>
        </w:rPr>
        <w:t>submits it to the northern AAIV</w:t>
      </w:r>
      <w:r>
        <w:rPr>
          <w:rFonts w:ascii="Arial" w:hAnsi="Arial"/>
        </w:rPr>
        <w:t xml:space="preserve"> or </w:t>
      </w:r>
      <w:r w:rsidR="009C75EE">
        <w:rPr>
          <w:rFonts w:ascii="Arial" w:hAnsi="Arial"/>
        </w:rPr>
        <w:t>AAII.  The northern AAIV</w:t>
      </w:r>
      <w:r>
        <w:rPr>
          <w:rFonts w:ascii="Arial" w:hAnsi="Arial"/>
        </w:rPr>
        <w:t xml:space="preserve"> or AAII prepare the purchase order.  The Administrator or designee verifies that the recipient is entitled to the funds and signs the pur</w:t>
      </w:r>
      <w:r w:rsidR="009C75EE">
        <w:rPr>
          <w:rFonts w:ascii="Arial" w:hAnsi="Arial"/>
        </w:rPr>
        <w:t>chase order.  The northern AAIV</w:t>
      </w:r>
      <w:r>
        <w:rPr>
          <w:rFonts w:ascii="Arial" w:hAnsi="Arial"/>
        </w:rPr>
        <w:t xml:space="preserve"> or AAII submits the purchase order to Financial Management for preparation of the revolving fund check.  Upon notification by Financial Manag</w:t>
      </w:r>
      <w:r w:rsidR="009C75EE">
        <w:rPr>
          <w:rFonts w:ascii="Arial" w:hAnsi="Arial"/>
        </w:rPr>
        <w:t>ement, either the northern AAIV</w:t>
      </w:r>
      <w:r>
        <w:rPr>
          <w:rFonts w:ascii="Arial" w:hAnsi="Arial"/>
        </w:rPr>
        <w:t xml:space="preserve"> or AAII pick up the check and compare the name of the recipient to that indicated on the purchase order.  In no instance will the staff person who prepared the purchase order reconcile the name on the check with the name on the purchase order.  Upon verification, the revolving fund check is mailed or hand delivered to the recipient.</w:t>
      </w:r>
    </w:p>
    <w:p w:rsidR="004C61CD" w:rsidRDefault="004C61CD" w:rsidP="00DD64B8">
      <w:pPr>
        <w:rPr>
          <w:rFonts w:ascii="Arial" w:hAnsi="Arial"/>
          <w:b/>
          <w:u w:val="single"/>
        </w:rPr>
      </w:pPr>
    </w:p>
    <w:p w:rsidR="006402ED" w:rsidRDefault="006402ED" w:rsidP="00DD64B8">
      <w:pPr>
        <w:rPr>
          <w:rFonts w:ascii="Arial" w:hAnsi="Arial"/>
        </w:rPr>
      </w:pPr>
    </w:p>
    <w:sectPr w:rsidR="006402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824" w:rsidRDefault="00936824">
      <w:r>
        <w:separator/>
      </w:r>
    </w:p>
  </w:endnote>
  <w:endnote w:type="continuationSeparator" w:id="0">
    <w:p w:rsidR="00936824" w:rsidRDefault="0093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3" w:rsidRDefault="00F31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ED" w:rsidRDefault="006402ED">
    <w:pPr>
      <w:pStyle w:val="Header"/>
      <w:tabs>
        <w:tab w:val="clear" w:pos="4320"/>
        <w:tab w:val="clear" w:pos="8640"/>
      </w:tabs>
    </w:pPr>
  </w:p>
  <w:tbl>
    <w:tblPr>
      <w:tblW w:w="0" w:type="auto"/>
      <w:tblInd w:w="108" w:type="dxa"/>
      <w:tblLook w:val="0000" w:firstRow="0" w:lastRow="0" w:firstColumn="0" w:lastColumn="0" w:noHBand="0" w:noVBand="0"/>
    </w:tblPr>
    <w:tblGrid>
      <w:gridCol w:w="6640"/>
      <w:gridCol w:w="2612"/>
    </w:tblGrid>
    <w:tr w:rsidR="006402ED">
      <w:tblPrEx>
        <w:tblCellMar>
          <w:top w:w="0" w:type="dxa"/>
          <w:bottom w:w="0" w:type="dxa"/>
        </w:tblCellMar>
      </w:tblPrEx>
      <w:tc>
        <w:tcPr>
          <w:tcW w:w="6720" w:type="dxa"/>
          <w:tcBorders>
            <w:top w:val="single" w:sz="12" w:space="0" w:color="auto"/>
          </w:tcBorders>
        </w:tcPr>
        <w:p w:rsidR="006402ED" w:rsidRDefault="00EE1291">
          <w:pPr>
            <w:pStyle w:val="Footer"/>
            <w:rPr>
              <w:rFonts w:ascii="Arial" w:hAnsi="Arial" w:cs="Arial"/>
              <w:b/>
              <w:bCs/>
            </w:rPr>
          </w:pPr>
          <w:r>
            <w:rPr>
              <w:rFonts w:ascii="Arial" w:hAnsi="Arial" w:cs="Arial"/>
              <w:b/>
              <w:bCs/>
            </w:rPr>
            <w:t xml:space="preserve">4.17 </w:t>
          </w:r>
          <w:r w:rsidR="006402ED">
            <w:rPr>
              <w:rFonts w:ascii="Arial" w:hAnsi="Arial" w:cs="Arial"/>
              <w:b/>
              <w:bCs/>
            </w:rPr>
            <w:t>BEN Spending and Signature Authority</w:t>
          </w:r>
        </w:p>
      </w:tc>
      <w:tc>
        <w:tcPr>
          <w:tcW w:w="2640" w:type="dxa"/>
          <w:tcBorders>
            <w:top w:val="single" w:sz="12" w:space="0" w:color="auto"/>
          </w:tcBorders>
        </w:tcPr>
        <w:p w:rsidR="006402ED" w:rsidRDefault="006402ED">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DC7318">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DC7318">
            <w:rPr>
              <w:rStyle w:val="PageNumber"/>
              <w:rFonts w:ascii="Arial" w:hAnsi="Arial" w:cs="Arial"/>
              <w:b/>
              <w:bCs/>
              <w:noProof/>
            </w:rPr>
            <w:t>2</w:t>
          </w:r>
          <w:r>
            <w:rPr>
              <w:rStyle w:val="PageNumber"/>
              <w:rFonts w:ascii="Arial" w:hAnsi="Arial" w:cs="Arial"/>
              <w:b/>
              <w:bCs/>
            </w:rPr>
            <w:fldChar w:fldCharType="end"/>
          </w:r>
        </w:p>
      </w:tc>
    </w:tr>
  </w:tbl>
  <w:p w:rsidR="006402ED" w:rsidRDefault="00F31433">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3" w:rsidRDefault="00F3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824" w:rsidRDefault="00936824">
      <w:r>
        <w:separator/>
      </w:r>
    </w:p>
  </w:footnote>
  <w:footnote w:type="continuationSeparator" w:id="0">
    <w:p w:rsidR="00936824" w:rsidRDefault="0093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3" w:rsidRDefault="00F31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6402ED">
      <w:tblPrEx>
        <w:tblCellMar>
          <w:top w:w="0" w:type="dxa"/>
          <w:bottom w:w="0" w:type="dxa"/>
        </w:tblCellMar>
      </w:tblPrEx>
      <w:tc>
        <w:tcPr>
          <w:tcW w:w="6840" w:type="dxa"/>
        </w:tcPr>
        <w:p w:rsidR="006402ED" w:rsidRPr="00DC7318" w:rsidRDefault="006402ED">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DC7318">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DC7318">
            <w:rPr>
              <w:rFonts w:ascii="Arial" w:hAnsi="Arial" w:cs="Arial"/>
              <w:b/>
              <w:bCs/>
              <w:sz w:val="36"/>
              <w14:shadow w14:blurRad="50800" w14:dist="38100" w14:dir="2700000" w14:sx="100000" w14:sy="100000" w14:kx="0" w14:ky="0" w14:algn="tl">
                <w14:srgbClr w14:val="000000">
                  <w14:alpha w14:val="60000"/>
                </w14:srgbClr>
              </w14:shadow>
            </w:rPr>
            <w:tab/>
          </w:r>
          <w:r w:rsidRPr="00DC7318">
            <w:rPr>
              <w:rFonts w:ascii="Arial" w:hAnsi="Arial" w:cs="Arial"/>
              <w:b/>
              <w:bCs/>
              <w:sz w:val="36"/>
              <w14:shadow w14:blurRad="50800" w14:dist="38100" w14:dir="2700000" w14:sx="100000" w14:sy="100000" w14:kx="0" w14:ky="0" w14:algn="tl">
                <w14:srgbClr w14:val="000000">
                  <w14:alpha w14:val="60000"/>
                </w14:srgbClr>
              </w14:shadow>
            </w:rPr>
            <w:tab/>
          </w:r>
        </w:p>
        <w:p w:rsidR="006402ED" w:rsidRDefault="006402ED">
          <w:pPr>
            <w:pStyle w:val="Header"/>
            <w:rPr>
              <w:rFonts w:ascii="Arial" w:hAnsi="Arial" w:cs="Arial"/>
              <w:b/>
              <w:bCs/>
              <w:sz w:val="32"/>
            </w:rPr>
          </w:pPr>
          <w:r>
            <w:rPr>
              <w:rFonts w:ascii="Arial" w:hAnsi="Arial" w:cs="Arial"/>
              <w:b/>
              <w:bCs/>
              <w:sz w:val="32"/>
            </w:rPr>
            <w:t>GENERAL ADMINISTRATIVE MANUAL</w:t>
          </w:r>
        </w:p>
        <w:p w:rsidR="006402ED" w:rsidRPr="001C439C" w:rsidRDefault="00EE1291">
          <w:pPr>
            <w:pStyle w:val="Header"/>
            <w:rPr>
              <w:rFonts w:ascii="Arial" w:hAnsi="Arial"/>
              <w:b/>
              <w:sz w:val="28"/>
            </w:rPr>
          </w:pPr>
          <w:r>
            <w:rPr>
              <w:rFonts w:ascii="Arial" w:hAnsi="Arial"/>
              <w:b/>
              <w:sz w:val="28"/>
            </w:rPr>
            <w:t xml:space="preserve">4.17 </w:t>
          </w:r>
          <w:r w:rsidR="006402ED">
            <w:rPr>
              <w:rFonts w:ascii="Arial" w:hAnsi="Arial"/>
              <w:b/>
              <w:sz w:val="28"/>
            </w:rPr>
            <w:t>BEN Sp</w:t>
          </w:r>
          <w:r w:rsidR="006402ED" w:rsidRPr="001C439C">
            <w:rPr>
              <w:rFonts w:ascii="Arial" w:hAnsi="Arial"/>
              <w:b/>
              <w:sz w:val="28"/>
            </w:rPr>
            <w:t>endi</w:t>
          </w:r>
          <w:r w:rsidR="006402ED">
            <w:rPr>
              <w:rFonts w:ascii="Arial" w:hAnsi="Arial"/>
              <w:b/>
              <w:sz w:val="28"/>
            </w:rPr>
            <w:t>ng and Signature Authority</w:t>
          </w:r>
        </w:p>
      </w:tc>
      <w:tc>
        <w:tcPr>
          <w:tcW w:w="2628" w:type="dxa"/>
        </w:tcPr>
        <w:p w:rsidR="006402ED" w:rsidRDefault="00DC7318">
          <w:pPr>
            <w:pStyle w:val="Header"/>
            <w:jc w:val="center"/>
          </w:pPr>
          <w:r w:rsidRPr="00DC7318">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6402ED" w:rsidRDefault="006402ED">
    <w:pPr>
      <w:pStyle w:val="Header"/>
    </w:pPr>
  </w:p>
  <w:p w:rsidR="006402ED" w:rsidRDefault="0064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3" w:rsidRDefault="00F31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3"/>
    <w:rsid w:val="000635B9"/>
    <w:rsid w:val="00074B18"/>
    <w:rsid w:val="000D7306"/>
    <w:rsid w:val="00106EE0"/>
    <w:rsid w:val="0019602B"/>
    <w:rsid w:val="001C439C"/>
    <w:rsid w:val="00261FE9"/>
    <w:rsid w:val="003161E4"/>
    <w:rsid w:val="00347B90"/>
    <w:rsid w:val="00383A4B"/>
    <w:rsid w:val="003D40CE"/>
    <w:rsid w:val="004C1395"/>
    <w:rsid w:val="004C61CD"/>
    <w:rsid w:val="004F1833"/>
    <w:rsid w:val="00523045"/>
    <w:rsid w:val="005564AE"/>
    <w:rsid w:val="005E7D79"/>
    <w:rsid w:val="006122DE"/>
    <w:rsid w:val="006402ED"/>
    <w:rsid w:val="006B6A58"/>
    <w:rsid w:val="006C7C95"/>
    <w:rsid w:val="006E072A"/>
    <w:rsid w:val="006E6861"/>
    <w:rsid w:val="008227A8"/>
    <w:rsid w:val="00847B89"/>
    <w:rsid w:val="008E33CA"/>
    <w:rsid w:val="00907B98"/>
    <w:rsid w:val="00936824"/>
    <w:rsid w:val="009626DE"/>
    <w:rsid w:val="009B4DA7"/>
    <w:rsid w:val="009C75EE"/>
    <w:rsid w:val="009D56D9"/>
    <w:rsid w:val="00D85FF9"/>
    <w:rsid w:val="00DB51C8"/>
    <w:rsid w:val="00DC3E66"/>
    <w:rsid w:val="00DC7318"/>
    <w:rsid w:val="00DD64B8"/>
    <w:rsid w:val="00DE0B2A"/>
    <w:rsid w:val="00DE738C"/>
    <w:rsid w:val="00E07ADC"/>
    <w:rsid w:val="00E16D9F"/>
    <w:rsid w:val="00E35AD8"/>
    <w:rsid w:val="00E62ACA"/>
    <w:rsid w:val="00EE1291"/>
    <w:rsid w:val="00F31433"/>
    <w:rsid w:val="00F45835"/>
    <w:rsid w:val="00F923F2"/>
    <w:rsid w:val="00F944C5"/>
    <w:rsid w:val="00FB2543"/>
    <w:rsid w:val="00FE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5F5BC96-ABD1-4E88-822A-83A3E2F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table" w:styleId="TableGrid">
    <w:name w:val="Table Grid"/>
    <w:basedOn w:val="TableNormal"/>
    <w:rsid w:val="006C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0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2017-07-31T20:29:00Z</cp:lastPrinted>
  <dcterms:created xsi:type="dcterms:W3CDTF">2019-11-01T19:32:00Z</dcterms:created>
  <dcterms:modified xsi:type="dcterms:W3CDTF">2019-11-01T19:32:00Z</dcterms:modified>
</cp:coreProperties>
</file>