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06D1" w:rsidRDefault="00FC06D1" w:rsidP="00FC06D1">
      <w:pPr>
        <w:pStyle w:val="BodyText"/>
        <w:rPr>
          <w:sz w:val="20"/>
        </w:rPr>
      </w:pPr>
    </w:p>
    <w:p w:rsidR="00FC06D1" w:rsidRDefault="00FC06D1" w:rsidP="00FC06D1">
      <w:pPr>
        <w:pStyle w:val="BodyText"/>
        <w:spacing w:before="1" w:after="1"/>
        <w:rPr>
          <w:sz w:val="25"/>
        </w:rPr>
      </w:pPr>
    </w:p>
    <w:p w:rsidR="00FC06D1" w:rsidRDefault="00FC06D1" w:rsidP="00FC06D1">
      <w:pPr>
        <w:pStyle w:val="BodyText"/>
        <w:ind w:left="160"/>
        <w:rPr>
          <w:sz w:val="20"/>
        </w:rPr>
      </w:pPr>
      <w:r>
        <w:rPr>
          <w:noProof/>
          <w:sz w:val="20"/>
        </w:rPr>
        <w:drawing>
          <wp:inline distT="0" distB="0" distL="0" distR="0" wp14:anchorId="5D59086F" wp14:editId="3BA57AB8">
            <wp:extent cx="2079137" cy="1524190"/>
            <wp:effectExtent l="0" t="0" r="0" b="0"/>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79137" cy="1524190"/>
                    </a:xfrm>
                    <a:prstGeom prst="rect">
                      <a:avLst/>
                    </a:prstGeom>
                  </pic:spPr>
                </pic:pic>
              </a:graphicData>
            </a:graphic>
          </wp:inline>
        </w:drawing>
      </w:r>
    </w:p>
    <w:p w:rsidR="00FC06D1" w:rsidRDefault="00FC06D1" w:rsidP="00FC06D1">
      <w:pPr>
        <w:spacing w:before="8"/>
        <w:ind w:left="841"/>
        <w:rPr>
          <w:rFonts w:ascii="Tahoma" w:hAnsi="Tahoma"/>
          <w:sz w:val="52"/>
        </w:rPr>
      </w:pPr>
      <w:r>
        <w:rPr>
          <w:rFonts w:ascii="Tahoma" w:hAnsi="Tahoma"/>
          <w:sz w:val="52"/>
        </w:rPr>
        <w:t>Nevada’s Workforce Development</w:t>
      </w:r>
    </w:p>
    <w:p w:rsidR="00FC06D1" w:rsidRDefault="00FC06D1" w:rsidP="00FC06D1">
      <w:pPr>
        <w:ind w:left="3361"/>
        <w:rPr>
          <w:rFonts w:ascii="Tahoma"/>
          <w:sz w:val="52"/>
        </w:rPr>
      </w:pPr>
      <w:r>
        <w:rPr>
          <w:rFonts w:ascii="Tahoma"/>
          <w:sz w:val="52"/>
        </w:rPr>
        <w:t>System</w:t>
      </w:r>
    </w:p>
    <w:p w:rsidR="00FC06D1" w:rsidRDefault="00FC06D1" w:rsidP="00FC06D1">
      <w:pPr>
        <w:pStyle w:val="BodyText"/>
        <w:rPr>
          <w:rFonts w:ascii="Tahoma"/>
          <w:sz w:val="20"/>
        </w:rPr>
      </w:pPr>
    </w:p>
    <w:p w:rsidR="00FC06D1" w:rsidRDefault="00FC06D1" w:rsidP="00FC06D1">
      <w:pPr>
        <w:pStyle w:val="BodyText"/>
        <w:rPr>
          <w:rFonts w:ascii="Tahoma"/>
          <w:sz w:val="20"/>
        </w:rPr>
      </w:pPr>
    </w:p>
    <w:p w:rsidR="00FC06D1" w:rsidRDefault="00FC06D1" w:rsidP="00FC06D1">
      <w:pPr>
        <w:pStyle w:val="BodyText"/>
        <w:rPr>
          <w:rFonts w:ascii="Tahoma"/>
          <w:sz w:val="20"/>
        </w:rPr>
      </w:pPr>
    </w:p>
    <w:p w:rsidR="00FC06D1" w:rsidRDefault="00FC06D1" w:rsidP="00FC06D1">
      <w:pPr>
        <w:pStyle w:val="BodyText"/>
        <w:rPr>
          <w:rFonts w:ascii="Tahoma"/>
          <w:sz w:val="20"/>
        </w:rPr>
      </w:pPr>
    </w:p>
    <w:p w:rsidR="00FC06D1" w:rsidRDefault="00FC06D1" w:rsidP="00FC06D1">
      <w:pPr>
        <w:pStyle w:val="BodyText"/>
        <w:spacing w:before="1"/>
        <w:rPr>
          <w:rFonts w:ascii="Tahoma"/>
          <w:sz w:val="14"/>
        </w:rPr>
      </w:pPr>
      <w:r>
        <w:rPr>
          <w:noProof/>
        </w:rPr>
        <w:drawing>
          <wp:inline distT="0" distB="0" distL="0" distR="0" wp14:anchorId="5661AA00">
            <wp:extent cx="3742003" cy="788670"/>
            <wp:effectExtent l="0" t="0" r="0" b="0"/>
            <wp:docPr id="3"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2003" cy="788670"/>
                    </a:xfrm>
                    <a:prstGeom prst="rect">
                      <a:avLst/>
                    </a:prstGeom>
                  </pic:spPr>
                </pic:pic>
              </a:graphicData>
            </a:graphic>
          </wp:inline>
        </w:drawing>
      </w:r>
    </w:p>
    <w:p w:rsidR="00FC06D1" w:rsidRDefault="00FC06D1" w:rsidP="00FC06D1">
      <w:pPr>
        <w:ind w:left="2559"/>
        <w:rPr>
          <w:rFonts w:ascii="Tahoma" w:hAnsi="Tahoma"/>
          <w:sz w:val="52"/>
        </w:rPr>
      </w:pPr>
      <w:r>
        <w:rPr>
          <w:rFonts w:ascii="Tahoma" w:hAnsi="Tahoma"/>
          <w:sz w:val="52"/>
        </w:rPr>
        <w:t>July 2018 – June 2019</w:t>
      </w:r>
    </w:p>
    <w:p w:rsidR="00FC06D1" w:rsidRDefault="00FC06D1" w:rsidP="00FC06D1">
      <w:pPr>
        <w:pStyle w:val="BodyText"/>
        <w:rPr>
          <w:rFonts w:ascii="Tahoma"/>
          <w:sz w:val="20"/>
        </w:rPr>
      </w:pPr>
    </w:p>
    <w:p w:rsidR="00FC06D1" w:rsidRDefault="00FC06D1" w:rsidP="00FC06D1">
      <w:pPr>
        <w:pStyle w:val="BodyText"/>
        <w:rPr>
          <w:rFonts w:ascii="Tahoma"/>
          <w:sz w:val="20"/>
        </w:rPr>
      </w:pPr>
    </w:p>
    <w:p w:rsidR="00FC06D1" w:rsidRDefault="00FC06D1" w:rsidP="00FC06D1">
      <w:pPr>
        <w:pStyle w:val="BodyText"/>
        <w:spacing w:before="4"/>
        <w:rPr>
          <w:rFonts w:ascii="Tahoma"/>
          <w:sz w:val="14"/>
        </w:rPr>
      </w:pPr>
      <w:r>
        <w:rPr>
          <w:noProof/>
        </w:rPr>
        <w:drawing>
          <wp:inline distT="0" distB="0" distL="0" distR="0" wp14:anchorId="1E014D75">
            <wp:extent cx="1520075" cy="324612"/>
            <wp:effectExtent l="0" t="0" r="4445" b="0"/>
            <wp:docPr id="5" name="image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0075" cy="324612"/>
                    </a:xfrm>
                    <a:prstGeom prst="rect">
                      <a:avLst/>
                    </a:prstGeom>
                  </pic:spPr>
                </pic:pic>
              </a:graphicData>
            </a:graphic>
          </wp:inline>
        </w:drawing>
      </w:r>
    </w:p>
    <w:p w:rsidR="00FC06D1" w:rsidRDefault="00FC06D1" w:rsidP="00FC06D1">
      <w:pPr>
        <w:ind w:left="3438" w:right="1183"/>
        <w:rPr>
          <w:i/>
          <w:sz w:val="36"/>
        </w:rPr>
      </w:pPr>
      <w:r>
        <w:rPr>
          <w:i/>
          <w:sz w:val="36"/>
        </w:rPr>
        <w:t>Nevada’s Workforce Development Boards</w:t>
      </w:r>
    </w:p>
    <w:p w:rsidR="00FC06D1" w:rsidRDefault="00FC06D1" w:rsidP="00FC06D1">
      <w:pPr>
        <w:pStyle w:val="BodyText"/>
        <w:spacing w:before="3"/>
        <w:rPr>
          <w:i/>
          <w:sz w:val="14"/>
        </w:rPr>
      </w:pPr>
      <w:r>
        <w:rPr>
          <w:noProof/>
        </w:rPr>
        <w:drawing>
          <wp:inline distT="0" distB="0" distL="0" distR="0" wp14:anchorId="69D41298">
            <wp:extent cx="1736401" cy="324612"/>
            <wp:effectExtent l="0" t="0" r="0" b="0"/>
            <wp:docPr id="7" name="image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401" cy="324612"/>
                    </a:xfrm>
                    <a:prstGeom prst="rect">
                      <a:avLst/>
                    </a:prstGeom>
                  </pic:spPr>
                </pic:pic>
              </a:graphicData>
            </a:graphic>
          </wp:inline>
        </w:drawing>
      </w:r>
    </w:p>
    <w:p w:rsidR="00FC06D1" w:rsidRDefault="00FC06D1" w:rsidP="00FC06D1">
      <w:pPr>
        <w:spacing w:line="242" w:lineRule="auto"/>
        <w:ind w:left="3429" w:right="892"/>
        <w:rPr>
          <w:i/>
          <w:sz w:val="36"/>
        </w:rPr>
      </w:pPr>
      <w:r>
        <w:rPr>
          <w:i/>
          <w:color w:val="432C15"/>
          <w:sz w:val="36"/>
        </w:rPr>
        <w:t>Nevada Department of Employment, Training and Rehabilitation</w:t>
      </w:r>
    </w:p>
    <w:p w:rsidR="00FC06D1" w:rsidRDefault="00FC06D1" w:rsidP="00FC06D1">
      <w:pPr>
        <w:pStyle w:val="BodyText"/>
        <w:spacing w:before="8"/>
        <w:rPr>
          <w:i/>
          <w:sz w:val="13"/>
        </w:rPr>
      </w:pPr>
      <w:r>
        <w:rPr>
          <w:noProof/>
        </w:rPr>
        <w:drawing>
          <wp:inline distT="0" distB="0" distL="0" distR="0" wp14:anchorId="5C24FCE8">
            <wp:extent cx="1171966" cy="323850"/>
            <wp:effectExtent l="0" t="0" r="9525" b="0"/>
            <wp:docPr id="9" name="image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966" cy="323850"/>
                    </a:xfrm>
                    <a:prstGeom prst="rect">
                      <a:avLst/>
                    </a:prstGeom>
                  </pic:spPr>
                </pic:pic>
              </a:graphicData>
            </a:graphic>
          </wp:inline>
        </w:drawing>
      </w:r>
    </w:p>
    <w:p w:rsidR="00FC06D1" w:rsidRDefault="00FC06D1" w:rsidP="00FC06D1">
      <w:pPr>
        <w:ind w:left="368" w:right="295"/>
        <w:jc w:val="center"/>
        <w:rPr>
          <w:i/>
          <w:sz w:val="36"/>
        </w:rPr>
      </w:pPr>
      <w:r>
        <w:rPr>
          <w:i/>
          <w:sz w:val="36"/>
        </w:rPr>
        <w:t>December 02, 2019</w:t>
      </w:r>
    </w:p>
    <w:p w:rsidR="00FC06D1" w:rsidRDefault="00FC06D1">
      <w:pPr>
        <w:rPr>
          <w:b/>
          <w:bCs/>
          <w:sz w:val="24"/>
          <w:szCs w:val="24"/>
        </w:rPr>
      </w:pPr>
    </w:p>
    <w:p w:rsidR="00FC06D1" w:rsidRDefault="00FC06D1">
      <w:pPr>
        <w:rPr>
          <w:b/>
          <w:bCs/>
          <w:sz w:val="24"/>
          <w:szCs w:val="24"/>
        </w:rPr>
      </w:pPr>
      <w:r>
        <w:br w:type="page"/>
      </w:r>
    </w:p>
    <w:p w:rsidR="00AA6D37" w:rsidRDefault="00FC06D1">
      <w:pPr>
        <w:pStyle w:val="Heading1"/>
        <w:spacing w:before="79"/>
      </w:pPr>
      <w:r>
        <w:lastRenderedPageBreak/>
        <w:t>Preface</w:t>
      </w:r>
    </w:p>
    <w:p w:rsidR="00AA6D37" w:rsidRDefault="00AA6D37">
      <w:pPr>
        <w:pStyle w:val="BodyText"/>
        <w:spacing w:before="8"/>
        <w:rPr>
          <w:b/>
          <w:sz w:val="27"/>
        </w:rPr>
      </w:pPr>
    </w:p>
    <w:p w:rsidR="00AA6D37" w:rsidRDefault="00FC06D1">
      <w:pPr>
        <w:pStyle w:val="BodyText"/>
        <w:spacing w:before="1" w:line="259" w:lineRule="auto"/>
        <w:ind w:left="119" w:right="113"/>
        <w:jc w:val="both"/>
      </w:pPr>
      <w:r>
        <w:t>Through Workforce Innovation and Opportunity Act (WIOA) funding, the Department of Employment, Training and Rehabilitation (DETR), the Office of Workforce Innovation (OWINN), and the state’s two Local Workforce Development Boards (LWDB) provided an</w:t>
      </w:r>
      <w:r>
        <w:rPr>
          <w:spacing w:val="-33"/>
        </w:rPr>
        <w:t xml:space="preserve"> </w:t>
      </w:r>
      <w:r>
        <w:t>array of</w:t>
      </w:r>
      <w:r>
        <w:rPr>
          <w:spacing w:val="-14"/>
        </w:rPr>
        <w:t xml:space="preserve"> </w:t>
      </w:r>
      <w:r>
        <w:t>quality</w:t>
      </w:r>
      <w:r>
        <w:rPr>
          <w:spacing w:val="-18"/>
        </w:rPr>
        <w:t xml:space="preserve"> </w:t>
      </w:r>
      <w:r>
        <w:t>programs</w:t>
      </w:r>
      <w:r>
        <w:rPr>
          <w:spacing w:val="-13"/>
        </w:rPr>
        <w:t xml:space="preserve"> </w:t>
      </w:r>
      <w:r>
        <w:t>and</w:t>
      </w:r>
      <w:r>
        <w:rPr>
          <w:spacing w:val="-13"/>
        </w:rPr>
        <w:t xml:space="preserve"> </w:t>
      </w:r>
      <w:r>
        <w:t>services</w:t>
      </w:r>
      <w:r>
        <w:rPr>
          <w:spacing w:val="-13"/>
        </w:rPr>
        <w:t xml:space="preserve"> </w:t>
      </w:r>
      <w:r>
        <w:t>during</w:t>
      </w:r>
      <w:r>
        <w:rPr>
          <w:spacing w:val="-16"/>
        </w:rPr>
        <w:t xml:space="preserve"> </w:t>
      </w:r>
      <w:r>
        <w:t>Program</w:t>
      </w:r>
      <w:r>
        <w:rPr>
          <w:spacing w:val="-13"/>
        </w:rPr>
        <w:t xml:space="preserve"> </w:t>
      </w:r>
      <w:r>
        <w:t>Year</w:t>
      </w:r>
      <w:r>
        <w:rPr>
          <w:spacing w:val="-14"/>
        </w:rPr>
        <w:t xml:space="preserve"> </w:t>
      </w:r>
      <w:r>
        <w:t>2018.</w:t>
      </w:r>
      <w:r>
        <w:rPr>
          <w:spacing w:val="25"/>
        </w:rPr>
        <w:t xml:space="preserve"> </w:t>
      </w:r>
      <w:r>
        <w:t>Individuals</w:t>
      </w:r>
      <w:r>
        <w:rPr>
          <w:spacing w:val="-13"/>
        </w:rPr>
        <w:t xml:space="preserve"> </w:t>
      </w:r>
      <w:r>
        <w:t>and</w:t>
      </w:r>
      <w:r>
        <w:rPr>
          <w:spacing w:val="-13"/>
        </w:rPr>
        <w:t xml:space="preserve"> </w:t>
      </w:r>
      <w:r>
        <w:t>businesses</w:t>
      </w:r>
      <w:r>
        <w:rPr>
          <w:spacing w:val="-13"/>
        </w:rPr>
        <w:t xml:space="preserve"> </w:t>
      </w:r>
      <w:r>
        <w:t>benefited from well-established offerings. Opportunities around the state included unique approaches to engage out of school youth, projects to assist veterans, individuals with significant barriers to employment and promising programs designed to further economic</w:t>
      </w:r>
      <w:r>
        <w:rPr>
          <w:spacing w:val="-5"/>
        </w:rPr>
        <w:t xml:space="preserve"> </w:t>
      </w:r>
      <w:r>
        <w:t>growth.</w:t>
      </w:r>
    </w:p>
    <w:p w:rsidR="00AA6D37" w:rsidRDefault="00AA6D37">
      <w:pPr>
        <w:pStyle w:val="BodyText"/>
        <w:spacing w:before="9"/>
        <w:rPr>
          <w:sz w:val="25"/>
        </w:rPr>
      </w:pPr>
    </w:p>
    <w:p w:rsidR="00AA6D37" w:rsidRDefault="00FC06D1">
      <w:pPr>
        <w:pStyle w:val="BodyText"/>
        <w:spacing w:line="259" w:lineRule="auto"/>
        <w:ind w:left="119" w:right="116"/>
        <w:jc w:val="both"/>
      </w:pPr>
      <w:r>
        <w:t>WIOA funding, as well as funds from other sources, play a role in providing a level of services that</w:t>
      </w:r>
      <w:r>
        <w:rPr>
          <w:spacing w:val="-14"/>
        </w:rPr>
        <w:t xml:space="preserve"> </w:t>
      </w:r>
      <w:r>
        <w:t>will</w:t>
      </w:r>
      <w:r>
        <w:rPr>
          <w:spacing w:val="-14"/>
        </w:rPr>
        <w:t xml:space="preserve"> </w:t>
      </w:r>
      <w:r>
        <w:t>meet</w:t>
      </w:r>
      <w:r>
        <w:rPr>
          <w:spacing w:val="-14"/>
        </w:rPr>
        <w:t xml:space="preserve"> </w:t>
      </w:r>
      <w:r>
        <w:t>workforce</w:t>
      </w:r>
      <w:r>
        <w:rPr>
          <w:spacing w:val="-13"/>
        </w:rPr>
        <w:t xml:space="preserve"> </w:t>
      </w:r>
      <w:r>
        <w:t>needs.</w:t>
      </w:r>
      <w:r>
        <w:rPr>
          <w:spacing w:val="31"/>
        </w:rPr>
        <w:t xml:space="preserve"> </w:t>
      </w:r>
      <w:r>
        <w:t>Successful</w:t>
      </w:r>
      <w:r>
        <w:rPr>
          <w:spacing w:val="-14"/>
        </w:rPr>
        <w:t xml:space="preserve"> </w:t>
      </w:r>
      <w:r>
        <w:t>outcomes</w:t>
      </w:r>
      <w:r>
        <w:rPr>
          <w:spacing w:val="-14"/>
        </w:rPr>
        <w:t xml:space="preserve"> </w:t>
      </w:r>
      <w:r>
        <w:t>were</w:t>
      </w:r>
      <w:r>
        <w:rPr>
          <w:spacing w:val="-13"/>
        </w:rPr>
        <w:t xml:space="preserve"> </w:t>
      </w:r>
      <w:r>
        <w:t>attained</w:t>
      </w:r>
      <w:r>
        <w:rPr>
          <w:spacing w:val="-14"/>
        </w:rPr>
        <w:t xml:space="preserve"> </w:t>
      </w:r>
      <w:r>
        <w:t>and</w:t>
      </w:r>
      <w:r>
        <w:rPr>
          <w:spacing w:val="-14"/>
        </w:rPr>
        <w:t xml:space="preserve"> </w:t>
      </w:r>
      <w:r>
        <w:t>WIOA</w:t>
      </w:r>
      <w:r>
        <w:rPr>
          <w:spacing w:val="-15"/>
        </w:rPr>
        <w:t xml:space="preserve"> </w:t>
      </w:r>
      <w:r>
        <w:t>performance</w:t>
      </w:r>
      <w:r>
        <w:rPr>
          <w:spacing w:val="-15"/>
        </w:rPr>
        <w:t xml:space="preserve"> </w:t>
      </w:r>
      <w:r>
        <w:t>levels were met, and often exceeded, through exceptional efforts by the state, and the two LWDBs. The positive results of these endeavors are reflected in Nevada’s annual report with supporting appendices.</w:t>
      </w:r>
    </w:p>
    <w:p w:rsidR="00AA6D37" w:rsidRDefault="00AA6D37">
      <w:pPr>
        <w:pStyle w:val="BodyText"/>
        <w:spacing w:before="10"/>
        <w:rPr>
          <w:sz w:val="25"/>
        </w:rPr>
      </w:pPr>
    </w:p>
    <w:p w:rsidR="00AA6D37" w:rsidRDefault="00FC06D1">
      <w:pPr>
        <w:pStyle w:val="Heading1"/>
      </w:pPr>
      <w:r>
        <w:t>Governance of the Nevada Workforce System</w:t>
      </w:r>
    </w:p>
    <w:p w:rsidR="00AA6D37" w:rsidRDefault="00AA6D37">
      <w:pPr>
        <w:pStyle w:val="BodyText"/>
        <w:spacing w:before="9"/>
        <w:rPr>
          <w:b/>
          <w:sz w:val="27"/>
        </w:rPr>
      </w:pPr>
    </w:p>
    <w:p w:rsidR="00AA6D37" w:rsidRDefault="00FC06D1">
      <w:pPr>
        <w:pStyle w:val="BodyText"/>
        <w:spacing w:line="259" w:lineRule="auto"/>
        <w:ind w:left="120" w:right="116"/>
        <w:jc w:val="both"/>
      </w:pPr>
      <w:r>
        <w:t>The Workforce Investment Act of 1998 (WIA) provided the framework for states to build workforce investment systems that would vastly improve the delivery of employment services to the community. The goal of the system was to provide workforce investment activities through statewide and local efforts that increase the employment, retention and earnings of participants, and increase occupational skill attainment. Under the Act, the Governor’s Workforce Investment Board</w:t>
      </w:r>
      <w:r>
        <w:rPr>
          <w:spacing w:val="-8"/>
        </w:rPr>
        <w:t xml:space="preserve"> </w:t>
      </w:r>
      <w:r>
        <w:t>(GWIB)</w:t>
      </w:r>
      <w:r>
        <w:rPr>
          <w:spacing w:val="-10"/>
        </w:rPr>
        <w:t xml:space="preserve"> </w:t>
      </w:r>
      <w:r>
        <w:t>was</w:t>
      </w:r>
      <w:r>
        <w:rPr>
          <w:spacing w:val="-10"/>
        </w:rPr>
        <w:t xml:space="preserve"> </w:t>
      </w:r>
      <w:r>
        <w:t>established</w:t>
      </w:r>
      <w:r>
        <w:rPr>
          <w:spacing w:val="-10"/>
        </w:rPr>
        <w:t xml:space="preserve"> </w:t>
      </w:r>
      <w:r>
        <w:t>in</w:t>
      </w:r>
      <w:r>
        <w:rPr>
          <w:spacing w:val="-10"/>
        </w:rPr>
        <w:t xml:space="preserve"> </w:t>
      </w:r>
      <w:r>
        <w:t>accordance</w:t>
      </w:r>
      <w:r>
        <w:rPr>
          <w:spacing w:val="-11"/>
        </w:rPr>
        <w:t xml:space="preserve"> </w:t>
      </w:r>
      <w:r>
        <w:t>with</w:t>
      </w:r>
      <w:r>
        <w:rPr>
          <w:spacing w:val="-8"/>
        </w:rPr>
        <w:t xml:space="preserve"> </w:t>
      </w:r>
      <w:r>
        <w:t>WIA</w:t>
      </w:r>
      <w:r>
        <w:rPr>
          <w:spacing w:val="-10"/>
        </w:rPr>
        <w:t xml:space="preserve"> </w:t>
      </w:r>
      <w:r>
        <w:t>Section</w:t>
      </w:r>
      <w:r>
        <w:rPr>
          <w:spacing w:val="-10"/>
        </w:rPr>
        <w:t xml:space="preserve"> </w:t>
      </w:r>
      <w:r>
        <w:t>111</w:t>
      </w:r>
      <w:r>
        <w:rPr>
          <w:spacing w:val="-10"/>
        </w:rPr>
        <w:t xml:space="preserve"> </w:t>
      </w:r>
      <w:r>
        <w:t>of</w:t>
      </w:r>
      <w:r>
        <w:rPr>
          <w:spacing w:val="-10"/>
        </w:rPr>
        <w:t xml:space="preserve"> </w:t>
      </w:r>
      <w:r>
        <w:t>the</w:t>
      </w:r>
      <w:r>
        <w:rPr>
          <w:spacing w:val="-9"/>
        </w:rPr>
        <w:t xml:space="preserve"> </w:t>
      </w:r>
      <w:r>
        <w:t>Workforce</w:t>
      </w:r>
      <w:r>
        <w:rPr>
          <w:spacing w:val="-9"/>
        </w:rPr>
        <w:t xml:space="preserve"> </w:t>
      </w:r>
      <w:r>
        <w:t>Investment Act of 1998 (PL 105-220)., and through the Governor’s Executive</w:t>
      </w:r>
      <w:r>
        <w:rPr>
          <w:spacing w:val="-8"/>
        </w:rPr>
        <w:t xml:space="preserve"> </w:t>
      </w:r>
      <w:r>
        <w:t>Order.</w:t>
      </w:r>
    </w:p>
    <w:p w:rsidR="00AA6D37" w:rsidRDefault="00AA6D37">
      <w:pPr>
        <w:pStyle w:val="BodyText"/>
        <w:spacing w:before="7"/>
        <w:rPr>
          <w:sz w:val="25"/>
        </w:rPr>
      </w:pPr>
    </w:p>
    <w:p w:rsidR="00AA6D37" w:rsidRDefault="00FC06D1">
      <w:pPr>
        <w:pStyle w:val="BodyText"/>
        <w:spacing w:line="259" w:lineRule="auto"/>
        <w:ind w:left="119" w:right="118"/>
        <w:jc w:val="both"/>
      </w:pPr>
      <w:r>
        <w:t>WIOA,</w:t>
      </w:r>
      <w:r>
        <w:rPr>
          <w:spacing w:val="-17"/>
        </w:rPr>
        <w:t xml:space="preserve"> </w:t>
      </w:r>
      <w:r>
        <w:t>which</w:t>
      </w:r>
      <w:r>
        <w:rPr>
          <w:spacing w:val="-17"/>
        </w:rPr>
        <w:t xml:space="preserve"> </w:t>
      </w:r>
      <w:r>
        <w:t>replaced</w:t>
      </w:r>
      <w:r>
        <w:rPr>
          <w:spacing w:val="-12"/>
        </w:rPr>
        <w:t xml:space="preserve"> </w:t>
      </w:r>
      <w:r>
        <w:t>WIA</w:t>
      </w:r>
      <w:r>
        <w:rPr>
          <w:spacing w:val="-17"/>
        </w:rPr>
        <w:t xml:space="preserve"> </w:t>
      </w:r>
      <w:r>
        <w:t>as</w:t>
      </w:r>
      <w:r>
        <w:rPr>
          <w:spacing w:val="-17"/>
        </w:rPr>
        <w:t xml:space="preserve"> </w:t>
      </w:r>
      <w:r>
        <w:t>the</w:t>
      </w:r>
      <w:r>
        <w:rPr>
          <w:spacing w:val="-18"/>
        </w:rPr>
        <w:t xml:space="preserve"> </w:t>
      </w:r>
      <w:r>
        <w:t>primary</w:t>
      </w:r>
      <w:r>
        <w:rPr>
          <w:spacing w:val="-19"/>
        </w:rPr>
        <w:t xml:space="preserve"> </w:t>
      </w:r>
      <w:r>
        <w:t>federal</w:t>
      </w:r>
      <w:r>
        <w:rPr>
          <w:spacing w:val="-16"/>
        </w:rPr>
        <w:t xml:space="preserve"> </w:t>
      </w:r>
      <w:r>
        <w:t>workforce</w:t>
      </w:r>
      <w:r>
        <w:rPr>
          <w:spacing w:val="-18"/>
        </w:rPr>
        <w:t xml:space="preserve"> </w:t>
      </w:r>
      <w:r>
        <w:t>development</w:t>
      </w:r>
      <w:r>
        <w:rPr>
          <w:spacing w:val="-16"/>
        </w:rPr>
        <w:t xml:space="preserve"> </w:t>
      </w:r>
      <w:r>
        <w:t>legislation,</w:t>
      </w:r>
      <w:r>
        <w:rPr>
          <w:spacing w:val="-17"/>
        </w:rPr>
        <w:t xml:space="preserve"> </w:t>
      </w:r>
      <w:r>
        <w:t>is</w:t>
      </w:r>
      <w:r>
        <w:rPr>
          <w:spacing w:val="-17"/>
        </w:rPr>
        <w:t xml:space="preserve"> </w:t>
      </w:r>
      <w:r>
        <w:t>designed to</w:t>
      </w:r>
      <w:r>
        <w:rPr>
          <w:spacing w:val="-5"/>
        </w:rPr>
        <w:t xml:space="preserve"> </w:t>
      </w:r>
      <w:r>
        <w:t>help</w:t>
      </w:r>
      <w:r>
        <w:rPr>
          <w:spacing w:val="-5"/>
        </w:rPr>
        <w:t xml:space="preserve"> </w:t>
      </w:r>
      <w:r>
        <w:t>job</w:t>
      </w:r>
      <w:r>
        <w:rPr>
          <w:spacing w:val="-5"/>
        </w:rPr>
        <w:t xml:space="preserve"> </w:t>
      </w:r>
      <w:r>
        <w:t>seekers</w:t>
      </w:r>
      <w:r>
        <w:rPr>
          <w:spacing w:val="-2"/>
        </w:rPr>
        <w:t xml:space="preserve"> </w:t>
      </w:r>
      <w:r>
        <w:t>access</w:t>
      </w:r>
      <w:r>
        <w:rPr>
          <w:spacing w:val="-5"/>
        </w:rPr>
        <w:t xml:space="preserve"> </w:t>
      </w:r>
      <w:r>
        <w:t>employment,</w:t>
      </w:r>
      <w:r>
        <w:rPr>
          <w:spacing w:val="-5"/>
        </w:rPr>
        <w:t xml:space="preserve"> </w:t>
      </w:r>
      <w:r>
        <w:t>education,</w:t>
      </w:r>
      <w:r>
        <w:rPr>
          <w:spacing w:val="-5"/>
        </w:rPr>
        <w:t xml:space="preserve"> </w:t>
      </w:r>
      <w:r>
        <w:t>training,</w:t>
      </w:r>
      <w:r>
        <w:rPr>
          <w:spacing w:val="-2"/>
        </w:rPr>
        <w:t xml:space="preserve"> </w:t>
      </w:r>
      <w:r>
        <w:t>and</w:t>
      </w:r>
      <w:r>
        <w:rPr>
          <w:spacing w:val="-5"/>
        </w:rPr>
        <w:t xml:space="preserve"> </w:t>
      </w:r>
      <w:r>
        <w:t>support</w:t>
      </w:r>
      <w:r>
        <w:rPr>
          <w:spacing w:val="-4"/>
        </w:rPr>
        <w:t xml:space="preserve"> </w:t>
      </w:r>
      <w:r>
        <w:t>services</w:t>
      </w:r>
      <w:r>
        <w:rPr>
          <w:spacing w:val="-5"/>
        </w:rPr>
        <w:t xml:space="preserve"> </w:t>
      </w:r>
      <w:r>
        <w:t>to</w:t>
      </w:r>
      <w:r>
        <w:rPr>
          <w:spacing w:val="-5"/>
        </w:rPr>
        <w:t xml:space="preserve"> </w:t>
      </w:r>
      <w:r>
        <w:t>succeed</w:t>
      </w:r>
      <w:r>
        <w:rPr>
          <w:spacing w:val="-5"/>
        </w:rPr>
        <w:t xml:space="preserve"> </w:t>
      </w:r>
      <w:r>
        <w:t>in</w:t>
      </w:r>
      <w:r>
        <w:rPr>
          <w:spacing w:val="-5"/>
        </w:rPr>
        <w:t xml:space="preserve"> </w:t>
      </w:r>
      <w:r>
        <w:t>the labor market and to match employers with the skilled workers that they need to compete in the global economy. Under WIOA, the Governor’s Workforce Development Board (GWDB) was reauthorized in Section 101 and through Governor’s Executive Order</w:t>
      </w:r>
      <w:r>
        <w:rPr>
          <w:spacing w:val="-5"/>
        </w:rPr>
        <w:t xml:space="preserve"> </w:t>
      </w:r>
      <w:r>
        <w:t>2015-08.</w:t>
      </w:r>
    </w:p>
    <w:p w:rsidR="00AA6D37" w:rsidRDefault="00AA6D37">
      <w:pPr>
        <w:pStyle w:val="BodyText"/>
        <w:spacing w:before="10"/>
        <w:rPr>
          <w:sz w:val="25"/>
        </w:rPr>
      </w:pPr>
    </w:p>
    <w:p w:rsidR="00AA6D37" w:rsidRDefault="00FC06D1">
      <w:pPr>
        <w:pStyle w:val="Heading1"/>
        <w:ind w:left="119"/>
      </w:pPr>
      <w:r>
        <w:t>Governor’s Office of Workforce Innovation (OWINN)</w:t>
      </w:r>
    </w:p>
    <w:p w:rsidR="00AA6D37" w:rsidRDefault="00AA6D37">
      <w:pPr>
        <w:pStyle w:val="BodyText"/>
        <w:spacing w:before="9"/>
        <w:rPr>
          <w:b/>
          <w:sz w:val="27"/>
        </w:rPr>
      </w:pPr>
    </w:p>
    <w:p w:rsidR="00AA6D37" w:rsidRDefault="00FC06D1">
      <w:pPr>
        <w:pStyle w:val="BodyText"/>
        <w:spacing w:line="259" w:lineRule="auto"/>
        <w:ind w:left="119" w:right="118"/>
        <w:jc w:val="both"/>
      </w:pPr>
      <w:r>
        <w:t>In</w:t>
      </w:r>
      <w:r>
        <w:rPr>
          <w:spacing w:val="-13"/>
        </w:rPr>
        <w:t xml:space="preserve"> </w:t>
      </w:r>
      <w:r>
        <w:t>order</w:t>
      </w:r>
      <w:r>
        <w:rPr>
          <w:spacing w:val="-17"/>
        </w:rPr>
        <w:t xml:space="preserve"> </w:t>
      </w:r>
      <w:r>
        <w:t>to</w:t>
      </w:r>
      <w:r>
        <w:rPr>
          <w:spacing w:val="-16"/>
        </w:rPr>
        <w:t xml:space="preserve"> </w:t>
      </w:r>
      <w:r>
        <w:t>increase</w:t>
      </w:r>
      <w:r>
        <w:rPr>
          <w:spacing w:val="-17"/>
        </w:rPr>
        <w:t xml:space="preserve"> </w:t>
      </w:r>
      <w:r>
        <w:t>alignment</w:t>
      </w:r>
      <w:r>
        <w:rPr>
          <w:spacing w:val="-15"/>
        </w:rPr>
        <w:t xml:space="preserve"> </w:t>
      </w:r>
      <w:r>
        <w:t>with</w:t>
      </w:r>
      <w:r>
        <w:rPr>
          <w:spacing w:val="-16"/>
        </w:rPr>
        <w:t xml:space="preserve"> </w:t>
      </w:r>
      <w:r>
        <w:t>the</w:t>
      </w:r>
      <w:r>
        <w:rPr>
          <w:spacing w:val="-14"/>
        </w:rPr>
        <w:t xml:space="preserve"> </w:t>
      </w:r>
      <w:r>
        <w:t>goals</w:t>
      </w:r>
      <w:r>
        <w:rPr>
          <w:spacing w:val="-16"/>
        </w:rPr>
        <w:t xml:space="preserve"> </w:t>
      </w:r>
      <w:r>
        <w:t>of</w:t>
      </w:r>
      <w:r>
        <w:rPr>
          <w:spacing w:val="-17"/>
        </w:rPr>
        <w:t xml:space="preserve"> </w:t>
      </w:r>
      <w:r>
        <w:t>WIOA,</w:t>
      </w:r>
      <w:r>
        <w:rPr>
          <w:spacing w:val="-16"/>
        </w:rPr>
        <w:t xml:space="preserve"> </w:t>
      </w:r>
      <w:r>
        <w:t>Governor</w:t>
      </w:r>
      <w:r>
        <w:rPr>
          <w:spacing w:val="-16"/>
        </w:rPr>
        <w:t xml:space="preserve"> </w:t>
      </w:r>
      <w:r>
        <w:t>Sandoval</w:t>
      </w:r>
      <w:r>
        <w:rPr>
          <w:spacing w:val="-15"/>
        </w:rPr>
        <w:t xml:space="preserve"> </w:t>
      </w:r>
      <w:r>
        <w:t>issued</w:t>
      </w:r>
      <w:r>
        <w:rPr>
          <w:spacing w:val="-16"/>
        </w:rPr>
        <w:t xml:space="preserve"> </w:t>
      </w:r>
      <w:r>
        <w:t>Executive</w:t>
      </w:r>
      <w:r>
        <w:rPr>
          <w:spacing w:val="-17"/>
        </w:rPr>
        <w:t xml:space="preserve"> </w:t>
      </w:r>
      <w:r>
        <w:t>Order 2016-08 on March 16, 2016, revising Executive Order 2015-08 and establishing the Office of Workforce Innovation (OWINN) within the Office of the</w:t>
      </w:r>
      <w:r>
        <w:rPr>
          <w:spacing w:val="-3"/>
        </w:rPr>
        <w:t xml:space="preserve"> </w:t>
      </w:r>
      <w:r>
        <w:t>Governor.</w:t>
      </w:r>
    </w:p>
    <w:p w:rsidR="00AA6D37" w:rsidRDefault="00AA6D37">
      <w:pPr>
        <w:pStyle w:val="BodyText"/>
        <w:spacing w:before="11"/>
        <w:rPr>
          <w:sz w:val="25"/>
        </w:rPr>
      </w:pPr>
    </w:p>
    <w:p w:rsidR="00AA6D37" w:rsidRDefault="00FC06D1">
      <w:pPr>
        <w:pStyle w:val="BodyText"/>
        <w:ind w:left="119"/>
        <w:jc w:val="both"/>
      </w:pPr>
      <w:r>
        <w:t>Under this Executive Order, OWINN’s responsibilities include the following:</w:t>
      </w:r>
    </w:p>
    <w:p w:rsidR="00AA6D37" w:rsidRDefault="00FC06D1">
      <w:pPr>
        <w:pStyle w:val="ListParagraph"/>
        <w:numPr>
          <w:ilvl w:val="0"/>
          <w:numId w:val="3"/>
        </w:numPr>
        <w:tabs>
          <w:tab w:val="left" w:pos="840"/>
        </w:tabs>
        <w:spacing w:before="22" w:line="259" w:lineRule="auto"/>
        <w:ind w:right="117" w:firstLine="0"/>
        <w:rPr>
          <w:sz w:val="24"/>
        </w:rPr>
      </w:pPr>
      <w:r>
        <w:rPr>
          <w:sz w:val="24"/>
        </w:rPr>
        <w:t>Provide</w:t>
      </w:r>
      <w:r>
        <w:rPr>
          <w:spacing w:val="-12"/>
          <w:sz w:val="24"/>
        </w:rPr>
        <w:t xml:space="preserve"> </w:t>
      </w:r>
      <w:r>
        <w:rPr>
          <w:sz w:val="24"/>
        </w:rPr>
        <w:t>support</w:t>
      </w:r>
      <w:r>
        <w:rPr>
          <w:spacing w:val="-11"/>
          <w:sz w:val="24"/>
        </w:rPr>
        <w:t xml:space="preserve"> </w:t>
      </w:r>
      <w:r>
        <w:rPr>
          <w:sz w:val="24"/>
        </w:rPr>
        <w:t>to</w:t>
      </w:r>
      <w:r>
        <w:rPr>
          <w:spacing w:val="-11"/>
          <w:sz w:val="24"/>
        </w:rPr>
        <w:t xml:space="preserve"> </w:t>
      </w:r>
      <w:r>
        <w:rPr>
          <w:sz w:val="24"/>
        </w:rPr>
        <w:t>the</w:t>
      </w:r>
      <w:r>
        <w:rPr>
          <w:spacing w:val="-12"/>
          <w:sz w:val="24"/>
        </w:rPr>
        <w:t xml:space="preserve"> </w:t>
      </w:r>
      <w:r>
        <w:rPr>
          <w:sz w:val="24"/>
        </w:rPr>
        <w:t>GWDB,</w:t>
      </w:r>
      <w:r>
        <w:rPr>
          <w:spacing w:val="-11"/>
          <w:sz w:val="24"/>
        </w:rPr>
        <w:t xml:space="preserve"> </w:t>
      </w:r>
      <w:r>
        <w:rPr>
          <w:sz w:val="24"/>
        </w:rPr>
        <w:t>the</w:t>
      </w:r>
      <w:r>
        <w:rPr>
          <w:spacing w:val="-12"/>
          <w:sz w:val="24"/>
        </w:rPr>
        <w:t xml:space="preserve"> </w:t>
      </w:r>
      <w:r>
        <w:rPr>
          <w:sz w:val="24"/>
        </w:rPr>
        <w:t>industry</w:t>
      </w:r>
      <w:r>
        <w:rPr>
          <w:spacing w:val="-13"/>
          <w:sz w:val="24"/>
        </w:rPr>
        <w:t xml:space="preserve"> </w:t>
      </w:r>
      <w:r>
        <w:rPr>
          <w:sz w:val="24"/>
        </w:rPr>
        <w:t>sector</w:t>
      </w:r>
      <w:r>
        <w:rPr>
          <w:spacing w:val="-9"/>
          <w:sz w:val="24"/>
        </w:rPr>
        <w:t xml:space="preserve"> </w:t>
      </w:r>
      <w:r>
        <w:rPr>
          <w:sz w:val="24"/>
        </w:rPr>
        <w:t>councils,</w:t>
      </w:r>
      <w:r>
        <w:rPr>
          <w:spacing w:val="-9"/>
          <w:sz w:val="24"/>
        </w:rPr>
        <w:t xml:space="preserve"> </w:t>
      </w:r>
      <w:r>
        <w:rPr>
          <w:sz w:val="24"/>
        </w:rPr>
        <w:t>and</w:t>
      </w:r>
      <w:r>
        <w:rPr>
          <w:spacing w:val="-11"/>
          <w:sz w:val="24"/>
        </w:rPr>
        <w:t xml:space="preserve"> </w:t>
      </w:r>
      <w:r>
        <w:rPr>
          <w:sz w:val="24"/>
        </w:rPr>
        <w:t>the</w:t>
      </w:r>
      <w:r>
        <w:rPr>
          <w:spacing w:val="-10"/>
          <w:sz w:val="24"/>
        </w:rPr>
        <w:t xml:space="preserve"> </w:t>
      </w:r>
      <w:r>
        <w:rPr>
          <w:sz w:val="24"/>
        </w:rPr>
        <w:t>Office</w:t>
      </w:r>
      <w:r>
        <w:rPr>
          <w:spacing w:val="-7"/>
          <w:sz w:val="24"/>
        </w:rPr>
        <w:t xml:space="preserve"> </w:t>
      </w:r>
      <w:r>
        <w:rPr>
          <w:sz w:val="24"/>
        </w:rPr>
        <w:t>of</w:t>
      </w:r>
      <w:r>
        <w:rPr>
          <w:spacing w:val="-12"/>
          <w:sz w:val="24"/>
        </w:rPr>
        <w:t xml:space="preserve"> </w:t>
      </w:r>
      <w:r>
        <w:rPr>
          <w:sz w:val="24"/>
        </w:rPr>
        <w:t>the</w:t>
      </w:r>
      <w:r>
        <w:rPr>
          <w:spacing w:val="-10"/>
          <w:sz w:val="24"/>
        </w:rPr>
        <w:t xml:space="preserve"> </w:t>
      </w:r>
      <w:r>
        <w:rPr>
          <w:sz w:val="24"/>
        </w:rPr>
        <w:t>Governor in developing a strategy for the cooperation and collaboration among all stakeholders focused on workforce</w:t>
      </w:r>
      <w:r>
        <w:rPr>
          <w:spacing w:val="-2"/>
          <w:sz w:val="24"/>
        </w:rPr>
        <w:t xml:space="preserve"> </w:t>
      </w:r>
      <w:r>
        <w:rPr>
          <w:sz w:val="24"/>
        </w:rPr>
        <w:t>development.</w:t>
      </w:r>
    </w:p>
    <w:p w:rsidR="00AA6D37" w:rsidRDefault="00AA6D37">
      <w:pPr>
        <w:spacing w:line="259" w:lineRule="auto"/>
        <w:jc w:val="both"/>
        <w:rPr>
          <w:sz w:val="24"/>
        </w:rPr>
        <w:sectPr w:rsidR="00AA6D37" w:rsidSect="007B0B62">
          <w:footerReference w:type="even" r:id="rId12"/>
          <w:footerReference w:type="default" r:id="rId13"/>
          <w:type w:val="continuous"/>
          <w:pgSz w:w="12240" w:h="15840"/>
          <w:pgMar w:top="1360" w:right="1320" w:bottom="280" w:left="1320" w:header="720" w:footer="720" w:gutter="0"/>
          <w:pgNumType w:start="0"/>
          <w:cols w:space="720"/>
          <w:titlePg/>
          <w:docGrid w:linePitch="299"/>
        </w:sectPr>
      </w:pPr>
    </w:p>
    <w:p w:rsidR="00AA6D37" w:rsidRDefault="00FC06D1">
      <w:pPr>
        <w:pStyle w:val="ListParagraph"/>
        <w:numPr>
          <w:ilvl w:val="0"/>
          <w:numId w:val="3"/>
        </w:numPr>
        <w:tabs>
          <w:tab w:val="left" w:pos="840"/>
        </w:tabs>
        <w:spacing w:before="79" w:line="259" w:lineRule="auto"/>
        <w:ind w:right="118" w:firstLine="0"/>
        <w:rPr>
          <w:sz w:val="24"/>
        </w:rPr>
      </w:pPr>
      <w:r>
        <w:rPr>
          <w:sz w:val="24"/>
        </w:rPr>
        <w:lastRenderedPageBreak/>
        <w:t>Develop a career pathway strategy for Nevada in the fields of technology, advanced manufacturing, education, and health care.</w:t>
      </w:r>
    </w:p>
    <w:p w:rsidR="00AA6D37" w:rsidRDefault="00FC06D1">
      <w:pPr>
        <w:pStyle w:val="ListParagraph"/>
        <w:numPr>
          <w:ilvl w:val="0"/>
          <w:numId w:val="3"/>
        </w:numPr>
        <w:tabs>
          <w:tab w:val="left" w:pos="840"/>
        </w:tabs>
        <w:spacing w:line="259" w:lineRule="auto"/>
        <w:ind w:right="116" w:firstLine="0"/>
        <w:rPr>
          <w:sz w:val="24"/>
        </w:rPr>
      </w:pPr>
      <w:r>
        <w:rPr>
          <w:sz w:val="24"/>
        </w:rPr>
        <w:t>Recommend improvements to the allocation of federal and state dollars incorporating evidence-based</w:t>
      </w:r>
      <w:r>
        <w:rPr>
          <w:spacing w:val="-13"/>
          <w:sz w:val="24"/>
        </w:rPr>
        <w:t xml:space="preserve"> </w:t>
      </w:r>
      <w:r>
        <w:rPr>
          <w:sz w:val="24"/>
        </w:rPr>
        <w:t>and</w:t>
      </w:r>
      <w:r>
        <w:rPr>
          <w:spacing w:val="-15"/>
          <w:sz w:val="24"/>
        </w:rPr>
        <w:t xml:space="preserve"> </w:t>
      </w:r>
      <w:r>
        <w:rPr>
          <w:sz w:val="24"/>
        </w:rPr>
        <w:t>outcome-based</w:t>
      </w:r>
      <w:r>
        <w:rPr>
          <w:spacing w:val="-15"/>
          <w:sz w:val="24"/>
        </w:rPr>
        <w:t xml:space="preserve"> </w:t>
      </w:r>
      <w:r>
        <w:rPr>
          <w:sz w:val="24"/>
        </w:rPr>
        <w:t>strategies</w:t>
      </w:r>
      <w:r>
        <w:rPr>
          <w:spacing w:val="-15"/>
          <w:sz w:val="24"/>
        </w:rPr>
        <w:t xml:space="preserve"> </w:t>
      </w:r>
      <w:r>
        <w:rPr>
          <w:sz w:val="24"/>
        </w:rPr>
        <w:t>to</w:t>
      </w:r>
      <w:r>
        <w:rPr>
          <w:spacing w:val="-15"/>
          <w:sz w:val="24"/>
        </w:rPr>
        <w:t xml:space="preserve"> </w:t>
      </w:r>
      <w:r>
        <w:rPr>
          <w:sz w:val="24"/>
        </w:rPr>
        <w:t>align</w:t>
      </w:r>
      <w:r>
        <w:rPr>
          <w:spacing w:val="-15"/>
          <w:sz w:val="24"/>
        </w:rPr>
        <w:t xml:space="preserve"> </w:t>
      </w:r>
      <w:r>
        <w:rPr>
          <w:sz w:val="24"/>
        </w:rPr>
        <w:t>workforce</w:t>
      </w:r>
      <w:r>
        <w:rPr>
          <w:spacing w:val="-15"/>
          <w:sz w:val="24"/>
        </w:rPr>
        <w:t xml:space="preserve"> </w:t>
      </w:r>
      <w:r>
        <w:rPr>
          <w:sz w:val="24"/>
        </w:rPr>
        <w:t>training</w:t>
      </w:r>
      <w:r>
        <w:rPr>
          <w:spacing w:val="-17"/>
          <w:sz w:val="24"/>
        </w:rPr>
        <w:t xml:space="preserve"> </w:t>
      </w:r>
      <w:r>
        <w:rPr>
          <w:sz w:val="24"/>
        </w:rPr>
        <w:t>programs</w:t>
      </w:r>
      <w:r>
        <w:rPr>
          <w:spacing w:val="-15"/>
          <w:sz w:val="24"/>
        </w:rPr>
        <w:t xml:space="preserve"> </w:t>
      </w:r>
      <w:r>
        <w:rPr>
          <w:sz w:val="24"/>
        </w:rPr>
        <w:t>in</w:t>
      </w:r>
      <w:r>
        <w:rPr>
          <w:spacing w:val="-15"/>
          <w:sz w:val="24"/>
        </w:rPr>
        <w:t xml:space="preserve"> </w:t>
      </w:r>
      <w:r>
        <w:rPr>
          <w:sz w:val="24"/>
        </w:rPr>
        <w:t>Nevada</w:t>
      </w:r>
      <w:r>
        <w:rPr>
          <w:spacing w:val="-15"/>
          <w:sz w:val="24"/>
        </w:rPr>
        <w:t xml:space="preserve"> </w:t>
      </w:r>
      <w:r>
        <w:rPr>
          <w:sz w:val="24"/>
        </w:rPr>
        <w:t>with current and projected job opportunities and career pathways, based on Nevada’s economic development plan and information received from the industry sector</w:t>
      </w:r>
      <w:r>
        <w:rPr>
          <w:spacing w:val="-9"/>
          <w:sz w:val="24"/>
        </w:rPr>
        <w:t xml:space="preserve"> </w:t>
      </w:r>
      <w:r>
        <w:rPr>
          <w:sz w:val="24"/>
        </w:rPr>
        <w:t>councils.</w:t>
      </w:r>
    </w:p>
    <w:p w:rsidR="00AA6D37" w:rsidRDefault="00FC06D1">
      <w:pPr>
        <w:pStyle w:val="ListParagraph"/>
        <w:numPr>
          <w:ilvl w:val="0"/>
          <w:numId w:val="3"/>
        </w:numPr>
        <w:tabs>
          <w:tab w:val="left" w:pos="840"/>
        </w:tabs>
        <w:spacing w:line="259" w:lineRule="auto"/>
        <w:ind w:right="118" w:firstLine="0"/>
        <w:rPr>
          <w:sz w:val="24"/>
        </w:rPr>
      </w:pPr>
      <w:r>
        <w:rPr>
          <w:sz w:val="24"/>
        </w:rPr>
        <w:t>Apply for and administer grants, including those that may be available from funding reserved for statewide workforce investment activities from</w:t>
      </w:r>
      <w:r>
        <w:rPr>
          <w:spacing w:val="-6"/>
          <w:sz w:val="24"/>
        </w:rPr>
        <w:t xml:space="preserve"> </w:t>
      </w:r>
      <w:r>
        <w:rPr>
          <w:sz w:val="24"/>
        </w:rPr>
        <w:t>WIOA.</w:t>
      </w:r>
    </w:p>
    <w:p w:rsidR="00AA6D37" w:rsidRDefault="00FC06D1">
      <w:pPr>
        <w:pStyle w:val="ListParagraph"/>
        <w:numPr>
          <w:ilvl w:val="0"/>
          <w:numId w:val="3"/>
        </w:numPr>
        <w:tabs>
          <w:tab w:val="left" w:pos="840"/>
        </w:tabs>
        <w:spacing w:line="259" w:lineRule="auto"/>
        <w:ind w:right="115" w:firstLine="0"/>
        <w:rPr>
          <w:sz w:val="24"/>
        </w:rPr>
      </w:pPr>
      <w:r>
        <w:rPr>
          <w:sz w:val="24"/>
        </w:rPr>
        <w:t>Review</w:t>
      </w:r>
      <w:r>
        <w:rPr>
          <w:spacing w:val="-8"/>
          <w:sz w:val="24"/>
        </w:rPr>
        <w:t xml:space="preserve"> </w:t>
      </w:r>
      <w:r>
        <w:rPr>
          <w:sz w:val="24"/>
        </w:rPr>
        <w:t>the</w:t>
      </w:r>
      <w:r>
        <w:rPr>
          <w:spacing w:val="-8"/>
          <w:sz w:val="24"/>
        </w:rPr>
        <w:t xml:space="preserve"> </w:t>
      </w:r>
      <w:r>
        <w:rPr>
          <w:sz w:val="24"/>
        </w:rPr>
        <w:t>current</w:t>
      </w:r>
      <w:r>
        <w:rPr>
          <w:spacing w:val="-7"/>
          <w:sz w:val="24"/>
        </w:rPr>
        <w:t xml:space="preserve"> </w:t>
      </w:r>
      <w:r>
        <w:rPr>
          <w:sz w:val="24"/>
        </w:rPr>
        <w:t>status</w:t>
      </w:r>
      <w:r>
        <w:rPr>
          <w:spacing w:val="-7"/>
          <w:sz w:val="24"/>
        </w:rPr>
        <w:t xml:space="preserve"> </w:t>
      </w:r>
      <w:r>
        <w:rPr>
          <w:sz w:val="24"/>
        </w:rPr>
        <w:t>and</w:t>
      </w:r>
      <w:r>
        <w:rPr>
          <w:spacing w:val="-7"/>
          <w:sz w:val="24"/>
        </w:rPr>
        <w:t xml:space="preserve"> </w:t>
      </w:r>
      <w:r>
        <w:rPr>
          <w:sz w:val="24"/>
        </w:rPr>
        <w:t>structure</w:t>
      </w:r>
      <w:r>
        <w:rPr>
          <w:spacing w:val="-8"/>
          <w:sz w:val="24"/>
        </w:rPr>
        <w:t xml:space="preserve"> </w:t>
      </w:r>
      <w:r>
        <w:rPr>
          <w:sz w:val="24"/>
        </w:rPr>
        <w:t>of</w:t>
      </w:r>
      <w:r>
        <w:rPr>
          <w:spacing w:val="-8"/>
          <w:sz w:val="24"/>
        </w:rPr>
        <w:t xml:space="preserve"> </w:t>
      </w:r>
      <w:r>
        <w:rPr>
          <w:sz w:val="24"/>
        </w:rPr>
        <w:t>local</w:t>
      </w:r>
      <w:r>
        <w:rPr>
          <w:spacing w:val="-7"/>
          <w:sz w:val="24"/>
        </w:rPr>
        <w:t xml:space="preserve"> </w:t>
      </w:r>
      <w:r>
        <w:rPr>
          <w:sz w:val="24"/>
        </w:rPr>
        <w:t>workforce</w:t>
      </w:r>
      <w:r>
        <w:rPr>
          <w:spacing w:val="-8"/>
          <w:sz w:val="24"/>
        </w:rPr>
        <w:t xml:space="preserve"> </w:t>
      </w:r>
      <w:r>
        <w:rPr>
          <w:sz w:val="24"/>
        </w:rPr>
        <w:t>development</w:t>
      </w:r>
      <w:r>
        <w:rPr>
          <w:spacing w:val="-7"/>
          <w:sz w:val="24"/>
        </w:rPr>
        <w:t xml:space="preserve"> </w:t>
      </w:r>
      <w:r>
        <w:rPr>
          <w:sz w:val="24"/>
        </w:rPr>
        <w:t>boards</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State to</w:t>
      </w:r>
      <w:r>
        <w:rPr>
          <w:spacing w:val="-13"/>
          <w:sz w:val="24"/>
        </w:rPr>
        <w:t xml:space="preserve"> </w:t>
      </w:r>
      <w:r>
        <w:rPr>
          <w:sz w:val="24"/>
        </w:rPr>
        <w:t>insure</w:t>
      </w:r>
      <w:r>
        <w:rPr>
          <w:spacing w:val="-14"/>
          <w:sz w:val="24"/>
        </w:rPr>
        <w:t xml:space="preserve"> </w:t>
      </w:r>
      <w:r>
        <w:rPr>
          <w:sz w:val="24"/>
        </w:rPr>
        <w:t>they</w:t>
      </w:r>
      <w:r>
        <w:rPr>
          <w:spacing w:val="-18"/>
          <w:sz w:val="24"/>
        </w:rPr>
        <w:t xml:space="preserve"> </w:t>
      </w:r>
      <w:r>
        <w:rPr>
          <w:sz w:val="24"/>
        </w:rPr>
        <w:t>are</w:t>
      </w:r>
      <w:r>
        <w:rPr>
          <w:spacing w:val="-14"/>
          <w:sz w:val="24"/>
        </w:rPr>
        <w:t xml:space="preserve"> </w:t>
      </w:r>
      <w:r>
        <w:rPr>
          <w:sz w:val="24"/>
        </w:rPr>
        <w:t>appropriately</w:t>
      </w:r>
      <w:r>
        <w:rPr>
          <w:spacing w:val="-18"/>
          <w:sz w:val="24"/>
        </w:rPr>
        <w:t xml:space="preserve"> </w:t>
      </w:r>
      <w:r>
        <w:rPr>
          <w:sz w:val="24"/>
        </w:rPr>
        <w:t>aligned</w:t>
      </w:r>
      <w:r>
        <w:rPr>
          <w:spacing w:val="-13"/>
          <w:sz w:val="24"/>
        </w:rPr>
        <w:t xml:space="preserve"> </w:t>
      </w:r>
      <w:r>
        <w:rPr>
          <w:sz w:val="24"/>
        </w:rPr>
        <w:t>to</w:t>
      </w:r>
      <w:r>
        <w:rPr>
          <w:spacing w:val="-13"/>
          <w:sz w:val="24"/>
        </w:rPr>
        <w:t xml:space="preserve"> </w:t>
      </w:r>
      <w:r>
        <w:rPr>
          <w:sz w:val="24"/>
        </w:rPr>
        <w:t>serve</w:t>
      </w:r>
      <w:r>
        <w:rPr>
          <w:spacing w:val="-14"/>
          <w:sz w:val="24"/>
        </w:rPr>
        <w:t xml:space="preserve"> </w:t>
      </w:r>
      <w:r>
        <w:rPr>
          <w:sz w:val="24"/>
        </w:rPr>
        <w:t>the</w:t>
      </w:r>
      <w:r>
        <w:rPr>
          <w:spacing w:val="-12"/>
          <w:sz w:val="24"/>
        </w:rPr>
        <w:t xml:space="preserve"> </w:t>
      </w:r>
      <w:r>
        <w:rPr>
          <w:sz w:val="24"/>
        </w:rPr>
        <w:t>unique</w:t>
      </w:r>
      <w:r>
        <w:rPr>
          <w:spacing w:val="-14"/>
          <w:sz w:val="24"/>
        </w:rPr>
        <w:t xml:space="preserve"> </w:t>
      </w:r>
      <w:r>
        <w:rPr>
          <w:sz w:val="24"/>
        </w:rPr>
        <w:t>needs</w:t>
      </w:r>
      <w:r>
        <w:rPr>
          <w:spacing w:val="-13"/>
          <w:sz w:val="24"/>
        </w:rPr>
        <w:t xml:space="preserve"> </w:t>
      </w:r>
      <w:r>
        <w:rPr>
          <w:sz w:val="24"/>
        </w:rPr>
        <w:t>of</w:t>
      </w:r>
      <w:r>
        <w:rPr>
          <w:spacing w:val="-14"/>
          <w:sz w:val="24"/>
        </w:rPr>
        <w:t xml:space="preserve"> </w:t>
      </w:r>
      <w:r>
        <w:rPr>
          <w:sz w:val="24"/>
        </w:rPr>
        <w:t>regional</w:t>
      </w:r>
      <w:r>
        <w:rPr>
          <w:spacing w:val="-13"/>
          <w:sz w:val="24"/>
        </w:rPr>
        <w:t xml:space="preserve"> </w:t>
      </w:r>
      <w:r>
        <w:rPr>
          <w:sz w:val="24"/>
        </w:rPr>
        <w:t>economies</w:t>
      </w:r>
      <w:r>
        <w:rPr>
          <w:spacing w:val="-13"/>
          <w:sz w:val="24"/>
        </w:rPr>
        <w:t xml:space="preserve"> </w:t>
      </w:r>
      <w:r>
        <w:rPr>
          <w:sz w:val="24"/>
        </w:rPr>
        <w:t>in</w:t>
      </w:r>
      <w:r>
        <w:rPr>
          <w:spacing w:val="-13"/>
          <w:sz w:val="24"/>
        </w:rPr>
        <w:t xml:space="preserve"> </w:t>
      </w:r>
      <w:r>
        <w:rPr>
          <w:sz w:val="24"/>
        </w:rPr>
        <w:t>Nevada.</w:t>
      </w:r>
    </w:p>
    <w:p w:rsidR="00AA6D37" w:rsidRDefault="00FC06D1">
      <w:pPr>
        <w:pStyle w:val="ListParagraph"/>
        <w:numPr>
          <w:ilvl w:val="0"/>
          <w:numId w:val="3"/>
        </w:numPr>
        <w:tabs>
          <w:tab w:val="left" w:pos="840"/>
        </w:tabs>
        <w:spacing w:line="275" w:lineRule="exact"/>
        <w:ind w:firstLine="0"/>
        <w:rPr>
          <w:sz w:val="24"/>
        </w:rPr>
      </w:pPr>
      <w:r>
        <w:rPr>
          <w:sz w:val="24"/>
        </w:rPr>
        <w:t>Work on any other matter as directed by the Office of the</w:t>
      </w:r>
      <w:r>
        <w:rPr>
          <w:spacing w:val="-16"/>
          <w:sz w:val="24"/>
        </w:rPr>
        <w:t xml:space="preserve"> </w:t>
      </w:r>
      <w:r>
        <w:rPr>
          <w:sz w:val="24"/>
        </w:rPr>
        <w:t>Governor.</w:t>
      </w:r>
    </w:p>
    <w:p w:rsidR="00AA6D37" w:rsidRDefault="00AA6D37">
      <w:pPr>
        <w:pStyle w:val="BodyText"/>
        <w:spacing w:before="7"/>
        <w:rPr>
          <w:sz w:val="27"/>
        </w:rPr>
      </w:pPr>
    </w:p>
    <w:p w:rsidR="00AA6D37" w:rsidRDefault="00FC06D1">
      <w:pPr>
        <w:pStyle w:val="BodyText"/>
        <w:spacing w:line="259" w:lineRule="auto"/>
        <w:ind w:left="119" w:right="116"/>
        <w:jc w:val="both"/>
      </w:pPr>
      <w:r>
        <w:t>During the 79th Nevada Legislative Session in 2017, OWINN was codified in statute as a permanent agency within the Office of the Governor to continue to align and ensure the sustainability of workforce strategy statewide. OWINN serves as the statewide workforce coordinating agency between K-12, postsecondary, the publicly funded workforce system and</w:t>
      </w:r>
      <w:r w:rsidR="00284E16">
        <w:t xml:space="preserve"> </w:t>
      </w:r>
      <w:r>
        <w:rPr>
          <w:spacing w:val="-40"/>
        </w:rPr>
        <w:t xml:space="preserve"> </w:t>
      </w:r>
      <w:r>
        <w:t>the employer community. OWINN’s mission is to help develop a skilled and diverse workforce aligned with the needs of business and industry within the state of Nevada by promoting cooperation</w:t>
      </w:r>
      <w:r>
        <w:rPr>
          <w:spacing w:val="-5"/>
        </w:rPr>
        <w:t xml:space="preserve"> </w:t>
      </w:r>
      <w:r>
        <w:t>and</w:t>
      </w:r>
      <w:r>
        <w:rPr>
          <w:spacing w:val="-5"/>
        </w:rPr>
        <w:t xml:space="preserve"> </w:t>
      </w:r>
      <w:r>
        <w:t>collaboration</w:t>
      </w:r>
      <w:r>
        <w:rPr>
          <w:spacing w:val="-5"/>
        </w:rPr>
        <w:t xml:space="preserve"> </w:t>
      </w:r>
      <w:r>
        <w:t>among</w:t>
      </w:r>
      <w:r>
        <w:rPr>
          <w:spacing w:val="-7"/>
        </w:rPr>
        <w:t xml:space="preserve"> </w:t>
      </w:r>
      <w:r>
        <w:t>all</w:t>
      </w:r>
      <w:r>
        <w:rPr>
          <w:spacing w:val="-4"/>
        </w:rPr>
        <w:t xml:space="preserve"> </w:t>
      </w:r>
      <w:r>
        <w:t>entities</w:t>
      </w:r>
      <w:r>
        <w:rPr>
          <w:spacing w:val="-5"/>
        </w:rPr>
        <w:t xml:space="preserve"> </w:t>
      </w:r>
      <w:r>
        <w:t>focused</w:t>
      </w:r>
      <w:r>
        <w:rPr>
          <w:spacing w:val="-5"/>
        </w:rPr>
        <w:t xml:space="preserve"> </w:t>
      </w:r>
      <w:r>
        <w:t>on</w:t>
      </w:r>
      <w:r>
        <w:rPr>
          <w:spacing w:val="-5"/>
        </w:rPr>
        <w:t xml:space="preserve"> </w:t>
      </w:r>
      <w:r>
        <w:t>workforce</w:t>
      </w:r>
      <w:r>
        <w:rPr>
          <w:spacing w:val="-6"/>
        </w:rPr>
        <w:t xml:space="preserve"> </w:t>
      </w:r>
      <w:r>
        <w:t>development.</w:t>
      </w:r>
      <w:r>
        <w:rPr>
          <w:spacing w:val="-5"/>
        </w:rPr>
        <w:t xml:space="preserve"> </w:t>
      </w:r>
      <w:r w:rsidR="002C497D">
        <w:rPr>
          <w:spacing w:val="-5"/>
        </w:rPr>
        <w:t xml:space="preserve"> </w:t>
      </w:r>
      <w:r>
        <w:t>The</w:t>
      </w:r>
      <w:r>
        <w:rPr>
          <w:spacing w:val="-6"/>
        </w:rPr>
        <w:t xml:space="preserve"> </w:t>
      </w:r>
      <w:r>
        <w:t xml:space="preserve">primary responsibilities of OWINN are to (1) leverage labor market data, </w:t>
      </w:r>
      <w:r w:rsidRPr="00EE5581">
        <w:t>(2) design career pathways designed by the State of Nevada</w:t>
      </w:r>
      <w:r>
        <w:t>, (3) scale apprenticeships, (4) identify industry-recognized credentials, and (5) promote responsive workforce</w:t>
      </w:r>
      <w:r>
        <w:rPr>
          <w:spacing w:val="-2"/>
        </w:rPr>
        <w:t xml:space="preserve"> </w:t>
      </w:r>
      <w:r>
        <w:t>policies.</w:t>
      </w:r>
    </w:p>
    <w:p w:rsidR="00AA6D37" w:rsidRDefault="00AA6D37">
      <w:pPr>
        <w:pStyle w:val="BodyText"/>
        <w:spacing w:before="8"/>
        <w:rPr>
          <w:sz w:val="25"/>
        </w:rPr>
      </w:pPr>
    </w:p>
    <w:p w:rsidR="00AA6D37" w:rsidRDefault="00FC06D1">
      <w:pPr>
        <w:pStyle w:val="BodyText"/>
        <w:spacing w:line="259" w:lineRule="auto"/>
        <w:ind w:left="119" w:right="118"/>
        <w:jc w:val="both"/>
      </w:pPr>
      <w:r>
        <w:t>OWINN also operates as the State Apprenticeship Agency, overseeing existing apprenticeship programs and helping prospective programs appear before the State Apprenticeship Council for approval, and the statewide longitudinal data system, the Nevada P-20 to Workforce Research Data System (NPWR) which helps guide and inform education and workforce policy by</w:t>
      </w:r>
      <w:r>
        <w:rPr>
          <w:spacing w:val="-40"/>
        </w:rPr>
        <w:t xml:space="preserve"> </w:t>
      </w:r>
      <w:r>
        <w:t xml:space="preserve">fostering data-driven decision-making. </w:t>
      </w:r>
      <w:r w:rsidR="006D5CB8">
        <w:t xml:space="preserve"> </w:t>
      </w:r>
      <w:r>
        <w:t>A significant portion of Governor’s Reserve funds are utilized for OWINN.</w:t>
      </w:r>
    </w:p>
    <w:p w:rsidR="00AA6D37" w:rsidRDefault="00AA6D37">
      <w:pPr>
        <w:pStyle w:val="BodyText"/>
        <w:spacing w:before="10"/>
        <w:rPr>
          <w:sz w:val="25"/>
        </w:rPr>
      </w:pPr>
    </w:p>
    <w:p w:rsidR="00AA6D37" w:rsidRDefault="00FC06D1">
      <w:pPr>
        <w:pStyle w:val="BodyText"/>
        <w:spacing w:line="259" w:lineRule="auto"/>
        <w:ind w:left="119" w:right="115"/>
        <w:jc w:val="both"/>
      </w:pPr>
      <w:r>
        <w:t>OWINN engages with core partners and agencies to continually improve Nevada’s workforce system.</w:t>
      </w:r>
      <w:r>
        <w:rPr>
          <w:spacing w:val="-13"/>
        </w:rPr>
        <w:t xml:space="preserve"> </w:t>
      </w:r>
      <w:r>
        <w:t>These</w:t>
      </w:r>
      <w:r>
        <w:rPr>
          <w:spacing w:val="-14"/>
        </w:rPr>
        <w:t xml:space="preserve"> </w:t>
      </w:r>
      <w:r>
        <w:t>agencies</w:t>
      </w:r>
      <w:r>
        <w:rPr>
          <w:spacing w:val="-13"/>
        </w:rPr>
        <w:t xml:space="preserve"> </w:t>
      </w:r>
      <w:r>
        <w:t>include:</w:t>
      </w:r>
      <w:r>
        <w:rPr>
          <w:spacing w:val="-13"/>
        </w:rPr>
        <w:t xml:space="preserve"> </w:t>
      </w:r>
      <w:r>
        <w:t>Nevada</w:t>
      </w:r>
      <w:r>
        <w:rPr>
          <w:spacing w:val="-14"/>
        </w:rPr>
        <w:t xml:space="preserve"> </w:t>
      </w:r>
      <w:r>
        <w:t>Department</w:t>
      </w:r>
      <w:r>
        <w:rPr>
          <w:spacing w:val="-13"/>
        </w:rPr>
        <w:t xml:space="preserve"> </w:t>
      </w:r>
      <w:r>
        <w:t>of</w:t>
      </w:r>
      <w:r>
        <w:rPr>
          <w:spacing w:val="-14"/>
        </w:rPr>
        <w:t xml:space="preserve"> </w:t>
      </w:r>
      <w:r>
        <w:t>Employment,</w:t>
      </w:r>
      <w:r>
        <w:rPr>
          <w:spacing w:val="-13"/>
        </w:rPr>
        <w:t xml:space="preserve"> </w:t>
      </w:r>
      <w:r>
        <w:t>Training,</w:t>
      </w:r>
      <w:r>
        <w:rPr>
          <w:spacing w:val="-13"/>
        </w:rPr>
        <w:t xml:space="preserve"> </w:t>
      </w:r>
      <w:r>
        <w:t>and</w:t>
      </w:r>
      <w:r>
        <w:rPr>
          <w:spacing w:val="-13"/>
        </w:rPr>
        <w:t xml:space="preserve"> </w:t>
      </w:r>
      <w:r>
        <w:t>Rehabilitation (DETR),</w:t>
      </w:r>
      <w:r>
        <w:rPr>
          <w:spacing w:val="-5"/>
        </w:rPr>
        <w:t xml:space="preserve"> </w:t>
      </w:r>
      <w:r>
        <w:t>Nevada</w:t>
      </w:r>
      <w:r>
        <w:rPr>
          <w:spacing w:val="-3"/>
        </w:rPr>
        <w:t xml:space="preserve"> </w:t>
      </w:r>
      <w:r>
        <w:t>Department</w:t>
      </w:r>
      <w:r>
        <w:rPr>
          <w:spacing w:val="-4"/>
        </w:rPr>
        <w:t xml:space="preserve"> </w:t>
      </w:r>
      <w:r>
        <w:t>of</w:t>
      </w:r>
      <w:r>
        <w:rPr>
          <w:spacing w:val="-6"/>
        </w:rPr>
        <w:t xml:space="preserve"> </w:t>
      </w:r>
      <w:r>
        <w:t>Education</w:t>
      </w:r>
      <w:r>
        <w:rPr>
          <w:spacing w:val="-5"/>
        </w:rPr>
        <w:t xml:space="preserve"> </w:t>
      </w:r>
      <w:r>
        <w:t>(NDE),</w:t>
      </w:r>
      <w:r>
        <w:rPr>
          <w:spacing w:val="-5"/>
        </w:rPr>
        <w:t xml:space="preserve"> </w:t>
      </w:r>
      <w:r>
        <w:t>Nevada</w:t>
      </w:r>
      <w:r>
        <w:rPr>
          <w:spacing w:val="-6"/>
        </w:rPr>
        <w:t xml:space="preserve"> </w:t>
      </w:r>
      <w:r>
        <w:t>System</w:t>
      </w:r>
      <w:r>
        <w:rPr>
          <w:spacing w:val="-4"/>
        </w:rPr>
        <w:t xml:space="preserve"> </w:t>
      </w:r>
      <w:r>
        <w:t>of</w:t>
      </w:r>
      <w:r>
        <w:rPr>
          <w:spacing w:val="-6"/>
        </w:rPr>
        <w:t xml:space="preserve"> </w:t>
      </w:r>
      <w:r>
        <w:t>Higher</w:t>
      </w:r>
      <w:r>
        <w:rPr>
          <w:spacing w:val="-6"/>
        </w:rPr>
        <w:t xml:space="preserve"> </w:t>
      </w:r>
      <w:r>
        <w:t>Education</w:t>
      </w:r>
      <w:r>
        <w:rPr>
          <w:spacing w:val="-5"/>
        </w:rPr>
        <w:t xml:space="preserve"> </w:t>
      </w:r>
      <w:r>
        <w:t>(NSHE), Nevada Department of Health and Human Services (DHHS), Governor’s Office of Economic Development (GOED), the Office of Science, Innovation, and Technology (OSIT), Workforce Connections and Nevadaworks (the state’s local workforce development boards), and the Governor’s Workforce Development Board. OWINN also engages in meaningful partnerships with the state’s Regional Development Authorities (RDAs) and local chambers of</w:t>
      </w:r>
      <w:r>
        <w:rPr>
          <w:spacing w:val="-15"/>
        </w:rPr>
        <w:t xml:space="preserve"> </w:t>
      </w:r>
      <w:r>
        <w:t>commerce.</w:t>
      </w:r>
    </w:p>
    <w:p w:rsidR="00AA6D37" w:rsidRDefault="00AA6D37">
      <w:pPr>
        <w:spacing w:line="259" w:lineRule="auto"/>
        <w:jc w:val="both"/>
        <w:sectPr w:rsidR="00AA6D37" w:rsidSect="007B0B62">
          <w:footerReference w:type="default" r:id="rId14"/>
          <w:pgSz w:w="12240" w:h="15840"/>
          <w:pgMar w:top="1360" w:right="1320" w:bottom="280" w:left="1320" w:header="720" w:footer="720" w:gutter="0"/>
          <w:pgNumType w:start="2"/>
          <w:cols w:space="720"/>
        </w:sectPr>
      </w:pPr>
    </w:p>
    <w:p w:rsidR="00AA6D37" w:rsidRDefault="00FC06D1">
      <w:pPr>
        <w:pStyle w:val="Heading1"/>
        <w:spacing w:before="79"/>
      </w:pPr>
      <w:r>
        <w:lastRenderedPageBreak/>
        <w:t>GWDB’s Industry Sector Councils</w:t>
      </w:r>
    </w:p>
    <w:p w:rsidR="00AA6D37" w:rsidRDefault="00AA6D37">
      <w:pPr>
        <w:pStyle w:val="BodyText"/>
        <w:spacing w:before="8"/>
        <w:rPr>
          <w:b/>
          <w:sz w:val="27"/>
        </w:rPr>
      </w:pPr>
    </w:p>
    <w:p w:rsidR="00AA6D37" w:rsidRDefault="00FC06D1">
      <w:pPr>
        <w:pStyle w:val="BodyText"/>
        <w:spacing w:before="1" w:line="259" w:lineRule="auto"/>
        <w:ind w:left="119" w:right="115"/>
        <w:jc w:val="both"/>
      </w:pPr>
      <w:r>
        <w:t xml:space="preserve">The mission of the GWDB’s industry sector councils is to convene representatives of Nevada businesses, education and labor in order to facilitate data-driven recommendations concerning sector-specific workforce needs and challenges that will help guide </w:t>
      </w:r>
      <w:r w:rsidR="00EE5581">
        <w:t>s</w:t>
      </w:r>
      <w:r>
        <w:t>tate workforce development efforts. Per NRS 232.935, the GWDB is required to establish industry sector councils to better align workforce development efforts in the State. As of July 2016, the following eight industry sector councils have been established:</w:t>
      </w:r>
    </w:p>
    <w:p w:rsidR="00AA6D37" w:rsidRDefault="00FC06D1">
      <w:pPr>
        <w:pStyle w:val="ListParagraph"/>
        <w:numPr>
          <w:ilvl w:val="0"/>
          <w:numId w:val="2"/>
        </w:numPr>
        <w:tabs>
          <w:tab w:val="left" w:pos="839"/>
          <w:tab w:val="left" w:pos="840"/>
        </w:tabs>
        <w:spacing w:line="276" w:lineRule="exact"/>
        <w:rPr>
          <w:sz w:val="24"/>
        </w:rPr>
      </w:pPr>
      <w:r>
        <w:rPr>
          <w:sz w:val="24"/>
        </w:rPr>
        <w:t>Aerospace and Defense</w:t>
      </w:r>
    </w:p>
    <w:p w:rsidR="00AA6D37" w:rsidRDefault="00FC06D1">
      <w:pPr>
        <w:pStyle w:val="ListParagraph"/>
        <w:numPr>
          <w:ilvl w:val="0"/>
          <w:numId w:val="2"/>
        </w:numPr>
        <w:tabs>
          <w:tab w:val="left" w:pos="839"/>
          <w:tab w:val="left" w:pos="840"/>
        </w:tabs>
        <w:spacing w:before="21"/>
        <w:rPr>
          <w:sz w:val="24"/>
        </w:rPr>
      </w:pPr>
      <w:r>
        <w:rPr>
          <w:sz w:val="24"/>
        </w:rPr>
        <w:t>Natural</w:t>
      </w:r>
      <w:r>
        <w:rPr>
          <w:spacing w:val="-1"/>
          <w:sz w:val="24"/>
        </w:rPr>
        <w:t xml:space="preserve"> </w:t>
      </w:r>
      <w:r>
        <w:rPr>
          <w:sz w:val="24"/>
        </w:rPr>
        <w:t>Resources</w:t>
      </w:r>
    </w:p>
    <w:p w:rsidR="00AA6D37" w:rsidRDefault="00FC06D1">
      <w:pPr>
        <w:pStyle w:val="ListParagraph"/>
        <w:numPr>
          <w:ilvl w:val="0"/>
          <w:numId w:val="2"/>
        </w:numPr>
        <w:tabs>
          <w:tab w:val="left" w:pos="839"/>
          <w:tab w:val="left" w:pos="840"/>
        </w:tabs>
        <w:spacing w:before="22"/>
        <w:rPr>
          <w:sz w:val="24"/>
        </w:rPr>
      </w:pPr>
      <w:r>
        <w:rPr>
          <w:sz w:val="24"/>
        </w:rPr>
        <w:t>Health Care and Medical Services</w:t>
      </w:r>
    </w:p>
    <w:p w:rsidR="00AA6D37" w:rsidRDefault="00FC06D1">
      <w:pPr>
        <w:pStyle w:val="ListParagraph"/>
        <w:numPr>
          <w:ilvl w:val="0"/>
          <w:numId w:val="2"/>
        </w:numPr>
        <w:tabs>
          <w:tab w:val="left" w:pos="839"/>
          <w:tab w:val="left" w:pos="840"/>
        </w:tabs>
        <w:spacing w:before="21"/>
        <w:rPr>
          <w:sz w:val="24"/>
        </w:rPr>
      </w:pPr>
      <w:r>
        <w:rPr>
          <w:sz w:val="24"/>
        </w:rPr>
        <w:t>Information</w:t>
      </w:r>
      <w:r>
        <w:rPr>
          <w:spacing w:val="-1"/>
          <w:sz w:val="24"/>
        </w:rPr>
        <w:t xml:space="preserve"> </w:t>
      </w:r>
      <w:r>
        <w:rPr>
          <w:sz w:val="24"/>
        </w:rPr>
        <w:t>Technology</w:t>
      </w:r>
    </w:p>
    <w:p w:rsidR="00AA6D37" w:rsidRDefault="00FC06D1">
      <w:pPr>
        <w:pStyle w:val="ListParagraph"/>
        <w:numPr>
          <w:ilvl w:val="0"/>
          <w:numId w:val="2"/>
        </w:numPr>
        <w:tabs>
          <w:tab w:val="left" w:pos="839"/>
          <w:tab w:val="left" w:pos="840"/>
        </w:tabs>
        <w:spacing w:before="22"/>
        <w:rPr>
          <w:sz w:val="24"/>
        </w:rPr>
      </w:pPr>
      <w:r>
        <w:rPr>
          <w:sz w:val="24"/>
        </w:rPr>
        <w:t>Manufacturing and Logistics</w:t>
      </w:r>
    </w:p>
    <w:p w:rsidR="00AA6D37" w:rsidRDefault="00FC06D1">
      <w:pPr>
        <w:pStyle w:val="ListParagraph"/>
        <w:numPr>
          <w:ilvl w:val="0"/>
          <w:numId w:val="2"/>
        </w:numPr>
        <w:tabs>
          <w:tab w:val="left" w:pos="839"/>
          <w:tab w:val="left" w:pos="840"/>
        </w:tabs>
        <w:spacing w:before="22"/>
        <w:rPr>
          <w:sz w:val="24"/>
        </w:rPr>
      </w:pPr>
      <w:r>
        <w:rPr>
          <w:sz w:val="24"/>
        </w:rPr>
        <w:t>Mining and</w:t>
      </w:r>
      <w:r>
        <w:rPr>
          <w:spacing w:val="-4"/>
          <w:sz w:val="24"/>
        </w:rPr>
        <w:t xml:space="preserve"> </w:t>
      </w:r>
      <w:r>
        <w:rPr>
          <w:sz w:val="24"/>
        </w:rPr>
        <w:t>Materials</w:t>
      </w:r>
    </w:p>
    <w:p w:rsidR="00AA6D37" w:rsidRDefault="00FC06D1">
      <w:pPr>
        <w:pStyle w:val="ListParagraph"/>
        <w:numPr>
          <w:ilvl w:val="0"/>
          <w:numId w:val="2"/>
        </w:numPr>
        <w:tabs>
          <w:tab w:val="left" w:pos="839"/>
          <w:tab w:val="left" w:pos="840"/>
        </w:tabs>
        <w:spacing w:before="21"/>
        <w:rPr>
          <w:sz w:val="24"/>
        </w:rPr>
      </w:pPr>
      <w:r>
        <w:rPr>
          <w:sz w:val="24"/>
        </w:rPr>
        <w:t>Tourism, Gaming and</w:t>
      </w:r>
      <w:r>
        <w:rPr>
          <w:spacing w:val="-2"/>
          <w:sz w:val="24"/>
        </w:rPr>
        <w:t xml:space="preserve"> </w:t>
      </w:r>
      <w:r>
        <w:rPr>
          <w:sz w:val="24"/>
        </w:rPr>
        <w:t>Entertainment</w:t>
      </w:r>
    </w:p>
    <w:p w:rsidR="00AA6D37" w:rsidRDefault="00FC06D1">
      <w:pPr>
        <w:pStyle w:val="ListParagraph"/>
        <w:numPr>
          <w:ilvl w:val="0"/>
          <w:numId w:val="2"/>
        </w:numPr>
        <w:tabs>
          <w:tab w:val="left" w:pos="839"/>
          <w:tab w:val="left" w:pos="840"/>
        </w:tabs>
        <w:spacing w:before="22"/>
        <w:rPr>
          <w:sz w:val="24"/>
        </w:rPr>
      </w:pPr>
      <w:r>
        <w:rPr>
          <w:sz w:val="24"/>
        </w:rPr>
        <w:t>Construction</w:t>
      </w:r>
    </w:p>
    <w:p w:rsidR="00AA6D37" w:rsidRDefault="00AA6D37">
      <w:pPr>
        <w:pStyle w:val="BodyText"/>
        <w:spacing w:before="11"/>
        <w:rPr>
          <w:sz w:val="27"/>
        </w:rPr>
      </w:pPr>
    </w:p>
    <w:p w:rsidR="00AA6D37" w:rsidRDefault="00FC06D1">
      <w:pPr>
        <w:pStyle w:val="BodyText"/>
        <w:ind w:left="119"/>
        <w:jc w:val="both"/>
      </w:pPr>
      <w:r>
        <w:t>The industry sector councils shall:</w:t>
      </w:r>
    </w:p>
    <w:p w:rsidR="00AA6D37" w:rsidRDefault="00FC06D1">
      <w:pPr>
        <w:pStyle w:val="ListParagraph"/>
        <w:numPr>
          <w:ilvl w:val="0"/>
          <w:numId w:val="1"/>
        </w:numPr>
        <w:tabs>
          <w:tab w:val="left" w:pos="839"/>
          <w:tab w:val="left" w:pos="840"/>
        </w:tabs>
        <w:spacing w:before="22" w:line="259" w:lineRule="auto"/>
        <w:ind w:right="120" w:firstLine="0"/>
        <w:rPr>
          <w:sz w:val="24"/>
        </w:rPr>
      </w:pPr>
      <w:r>
        <w:rPr>
          <w:sz w:val="24"/>
        </w:rPr>
        <w:t xml:space="preserve">Issue recommendations and insights based upon </w:t>
      </w:r>
      <w:r w:rsidR="00EE5581" w:rsidRPr="00EE5581">
        <w:rPr>
          <w:sz w:val="24"/>
        </w:rPr>
        <w:t>short</w:t>
      </w:r>
      <w:r w:rsidR="00EE5581">
        <w:rPr>
          <w:sz w:val="24"/>
        </w:rPr>
        <w:t xml:space="preserve"> </w:t>
      </w:r>
      <w:r>
        <w:rPr>
          <w:sz w:val="24"/>
        </w:rPr>
        <w:t>and long-term employment and occupational</w:t>
      </w:r>
      <w:r>
        <w:rPr>
          <w:spacing w:val="-1"/>
          <w:sz w:val="24"/>
        </w:rPr>
        <w:t xml:space="preserve"> </w:t>
      </w:r>
      <w:r>
        <w:rPr>
          <w:sz w:val="24"/>
        </w:rPr>
        <w:t>forecasts.</w:t>
      </w:r>
    </w:p>
    <w:p w:rsidR="00AA6D37" w:rsidRDefault="00FC06D1">
      <w:pPr>
        <w:pStyle w:val="ListParagraph"/>
        <w:numPr>
          <w:ilvl w:val="0"/>
          <w:numId w:val="1"/>
        </w:numPr>
        <w:tabs>
          <w:tab w:val="left" w:pos="839"/>
          <w:tab w:val="left" w:pos="840"/>
        </w:tabs>
        <w:spacing w:line="259" w:lineRule="auto"/>
        <w:ind w:right="120" w:firstLine="0"/>
        <w:rPr>
          <w:sz w:val="24"/>
        </w:rPr>
      </w:pPr>
      <w:r>
        <w:rPr>
          <w:sz w:val="24"/>
        </w:rPr>
        <w:t>Make recommendations concerning the necessary skill and education requirements for in- demand</w:t>
      </w:r>
      <w:r>
        <w:rPr>
          <w:spacing w:val="-1"/>
          <w:sz w:val="24"/>
        </w:rPr>
        <w:t xml:space="preserve"> </w:t>
      </w:r>
      <w:r>
        <w:rPr>
          <w:sz w:val="24"/>
        </w:rPr>
        <w:t>jobs.</w:t>
      </w:r>
    </w:p>
    <w:p w:rsidR="00AA6D37" w:rsidRDefault="00FC06D1">
      <w:pPr>
        <w:pStyle w:val="ListParagraph"/>
        <w:numPr>
          <w:ilvl w:val="0"/>
          <w:numId w:val="1"/>
        </w:numPr>
        <w:tabs>
          <w:tab w:val="left" w:pos="840"/>
        </w:tabs>
        <w:spacing w:line="259" w:lineRule="auto"/>
        <w:ind w:right="121" w:firstLine="0"/>
        <w:rPr>
          <w:sz w:val="24"/>
        </w:rPr>
      </w:pPr>
      <w:r>
        <w:rPr>
          <w:sz w:val="24"/>
        </w:rPr>
        <w:t>Identify</w:t>
      </w:r>
      <w:r>
        <w:rPr>
          <w:spacing w:val="-11"/>
          <w:sz w:val="24"/>
        </w:rPr>
        <w:t xml:space="preserve"> </w:t>
      </w:r>
      <w:r>
        <w:rPr>
          <w:sz w:val="24"/>
        </w:rPr>
        <w:t>job</w:t>
      </w:r>
      <w:r>
        <w:rPr>
          <w:spacing w:val="-7"/>
          <w:sz w:val="24"/>
        </w:rPr>
        <w:t xml:space="preserve"> </w:t>
      </w:r>
      <w:r>
        <w:rPr>
          <w:sz w:val="24"/>
        </w:rPr>
        <w:t>training</w:t>
      </w:r>
      <w:r>
        <w:rPr>
          <w:spacing w:val="-9"/>
          <w:sz w:val="24"/>
        </w:rPr>
        <w:t xml:space="preserve"> </w:t>
      </w:r>
      <w:r>
        <w:rPr>
          <w:sz w:val="24"/>
        </w:rPr>
        <w:t>opportunities</w:t>
      </w:r>
      <w:r>
        <w:rPr>
          <w:spacing w:val="-7"/>
          <w:sz w:val="24"/>
        </w:rPr>
        <w:t xml:space="preserve"> </w:t>
      </w:r>
      <w:r>
        <w:rPr>
          <w:sz w:val="24"/>
        </w:rPr>
        <w:t>and</w:t>
      </w:r>
      <w:r>
        <w:rPr>
          <w:spacing w:val="-7"/>
          <w:sz w:val="24"/>
        </w:rPr>
        <w:t xml:space="preserve"> </w:t>
      </w:r>
      <w:r>
        <w:rPr>
          <w:sz w:val="24"/>
        </w:rPr>
        <w:t>education</w:t>
      </w:r>
      <w:r>
        <w:rPr>
          <w:spacing w:val="-5"/>
          <w:sz w:val="24"/>
        </w:rPr>
        <w:t xml:space="preserve"> </w:t>
      </w:r>
      <w:r>
        <w:rPr>
          <w:sz w:val="24"/>
        </w:rPr>
        <w:t>programs</w:t>
      </w:r>
      <w:r>
        <w:rPr>
          <w:spacing w:val="-7"/>
          <w:sz w:val="24"/>
        </w:rPr>
        <w:t xml:space="preserve"> </w:t>
      </w:r>
      <w:r>
        <w:rPr>
          <w:sz w:val="24"/>
        </w:rPr>
        <w:t>determined</w:t>
      </w:r>
      <w:r>
        <w:rPr>
          <w:spacing w:val="-7"/>
          <w:sz w:val="24"/>
        </w:rPr>
        <w:t xml:space="preserve"> </w:t>
      </w:r>
      <w:r>
        <w:rPr>
          <w:sz w:val="24"/>
        </w:rPr>
        <w:t>to</w:t>
      </w:r>
      <w:r>
        <w:rPr>
          <w:spacing w:val="-5"/>
          <w:sz w:val="24"/>
        </w:rPr>
        <w:t xml:space="preserve"> </w:t>
      </w:r>
      <w:r>
        <w:rPr>
          <w:sz w:val="24"/>
        </w:rPr>
        <w:t>have</w:t>
      </w:r>
      <w:r>
        <w:rPr>
          <w:spacing w:val="-8"/>
          <w:sz w:val="24"/>
        </w:rPr>
        <w:t xml:space="preserve"> </w:t>
      </w:r>
      <w:r>
        <w:rPr>
          <w:sz w:val="24"/>
        </w:rPr>
        <w:t>the</w:t>
      </w:r>
      <w:r>
        <w:rPr>
          <w:spacing w:val="-3"/>
          <w:sz w:val="24"/>
        </w:rPr>
        <w:t xml:space="preserve"> </w:t>
      </w:r>
      <w:r>
        <w:rPr>
          <w:sz w:val="24"/>
        </w:rPr>
        <w:t>greatest likelihood of success in meeting Nevada’s workforce needs via the development of talent pipelines/career</w:t>
      </w:r>
      <w:r>
        <w:rPr>
          <w:spacing w:val="-2"/>
          <w:sz w:val="24"/>
        </w:rPr>
        <w:t xml:space="preserve"> </w:t>
      </w:r>
      <w:r>
        <w:rPr>
          <w:sz w:val="24"/>
        </w:rPr>
        <w:t>pathways.</w:t>
      </w:r>
    </w:p>
    <w:p w:rsidR="00AA6D37" w:rsidRDefault="00AA6D37">
      <w:pPr>
        <w:pStyle w:val="BodyText"/>
        <w:spacing w:before="6"/>
        <w:rPr>
          <w:sz w:val="25"/>
        </w:rPr>
      </w:pPr>
    </w:p>
    <w:p w:rsidR="00AA6D37" w:rsidRDefault="00FC06D1">
      <w:pPr>
        <w:pStyle w:val="BodyText"/>
        <w:spacing w:before="1" w:line="259" w:lineRule="auto"/>
        <w:ind w:left="119" w:right="116"/>
        <w:jc w:val="both"/>
      </w:pPr>
      <w:r>
        <w:t>Representation</w:t>
      </w:r>
      <w:r>
        <w:rPr>
          <w:spacing w:val="-13"/>
        </w:rPr>
        <w:t xml:space="preserve"> </w:t>
      </w:r>
      <w:r>
        <w:t>on</w:t>
      </w:r>
      <w:r>
        <w:rPr>
          <w:spacing w:val="-13"/>
        </w:rPr>
        <w:t xml:space="preserve"> </w:t>
      </w:r>
      <w:r>
        <w:t>the</w:t>
      </w:r>
      <w:r>
        <w:rPr>
          <w:spacing w:val="-14"/>
        </w:rPr>
        <w:t xml:space="preserve"> </w:t>
      </w:r>
      <w:r>
        <w:t>industry</w:t>
      </w:r>
      <w:r>
        <w:rPr>
          <w:spacing w:val="-18"/>
        </w:rPr>
        <w:t xml:space="preserve"> </w:t>
      </w:r>
      <w:r>
        <w:t>sector</w:t>
      </w:r>
      <w:r>
        <w:rPr>
          <w:spacing w:val="-14"/>
        </w:rPr>
        <w:t xml:space="preserve"> </w:t>
      </w:r>
      <w:r>
        <w:t>councils</w:t>
      </w:r>
      <w:r>
        <w:rPr>
          <w:spacing w:val="-13"/>
        </w:rPr>
        <w:t xml:space="preserve"> </w:t>
      </w:r>
      <w:r>
        <w:t>consists</w:t>
      </w:r>
      <w:r>
        <w:rPr>
          <w:spacing w:val="-13"/>
        </w:rPr>
        <w:t xml:space="preserve"> </w:t>
      </w:r>
      <w:r>
        <w:t>of</w:t>
      </w:r>
      <w:r>
        <w:rPr>
          <w:spacing w:val="-14"/>
        </w:rPr>
        <w:t xml:space="preserve"> </w:t>
      </w:r>
      <w:r>
        <w:t>seven</w:t>
      </w:r>
      <w:r>
        <w:rPr>
          <w:spacing w:val="-13"/>
        </w:rPr>
        <w:t xml:space="preserve"> </w:t>
      </w:r>
      <w:r>
        <w:t>members</w:t>
      </w:r>
      <w:r>
        <w:rPr>
          <w:spacing w:val="-13"/>
        </w:rPr>
        <w:t xml:space="preserve"> </w:t>
      </w:r>
      <w:r>
        <w:t>appointed</w:t>
      </w:r>
      <w:r>
        <w:rPr>
          <w:spacing w:val="-13"/>
        </w:rPr>
        <w:t xml:space="preserve"> </w:t>
      </w:r>
      <w:r>
        <w:t>by</w:t>
      </w:r>
      <w:r>
        <w:rPr>
          <w:spacing w:val="-18"/>
        </w:rPr>
        <w:t xml:space="preserve"> </w:t>
      </w:r>
      <w:r>
        <w:t>the</w:t>
      </w:r>
      <w:r>
        <w:rPr>
          <w:spacing w:val="-12"/>
        </w:rPr>
        <w:t xml:space="preserve"> </w:t>
      </w:r>
      <w:r>
        <w:t>GWDB in consultation with OWINN and the Governor’s office, with at least four members representing private sector businesses. Other members are to be representatives of education, specifically as it relates to workforce training, and organized labor. A chairperson will be elected by the council members,</w:t>
      </w:r>
      <w:r>
        <w:rPr>
          <w:spacing w:val="-17"/>
        </w:rPr>
        <w:t xml:space="preserve"> </w:t>
      </w:r>
      <w:r>
        <w:t>respectively.</w:t>
      </w:r>
      <w:r>
        <w:rPr>
          <w:spacing w:val="28"/>
        </w:rPr>
        <w:t xml:space="preserve"> </w:t>
      </w:r>
      <w:r>
        <w:t>Industry</w:t>
      </w:r>
      <w:r>
        <w:rPr>
          <w:spacing w:val="-22"/>
        </w:rPr>
        <w:t xml:space="preserve"> </w:t>
      </w:r>
      <w:r>
        <w:t>sector</w:t>
      </w:r>
      <w:r>
        <w:rPr>
          <w:spacing w:val="-18"/>
        </w:rPr>
        <w:t xml:space="preserve"> </w:t>
      </w:r>
      <w:r>
        <w:t>councils</w:t>
      </w:r>
      <w:r>
        <w:rPr>
          <w:spacing w:val="-17"/>
        </w:rPr>
        <w:t xml:space="preserve"> </w:t>
      </w:r>
      <w:r>
        <w:t>shall</w:t>
      </w:r>
      <w:r>
        <w:rPr>
          <w:spacing w:val="-16"/>
        </w:rPr>
        <w:t xml:space="preserve"> </w:t>
      </w:r>
      <w:r>
        <w:t>meet</w:t>
      </w:r>
      <w:r>
        <w:rPr>
          <w:spacing w:val="-16"/>
        </w:rPr>
        <w:t xml:space="preserve"> </w:t>
      </w:r>
      <w:r>
        <w:t>at</w:t>
      </w:r>
      <w:r>
        <w:rPr>
          <w:spacing w:val="-16"/>
        </w:rPr>
        <w:t xml:space="preserve"> </w:t>
      </w:r>
      <w:r>
        <w:t>least</w:t>
      </w:r>
      <w:r>
        <w:rPr>
          <w:spacing w:val="-16"/>
        </w:rPr>
        <w:t xml:space="preserve"> </w:t>
      </w:r>
      <w:r>
        <w:t>twice</w:t>
      </w:r>
      <w:r>
        <w:rPr>
          <w:spacing w:val="-18"/>
        </w:rPr>
        <w:t xml:space="preserve"> </w:t>
      </w:r>
      <w:r>
        <w:t>annually,</w:t>
      </w:r>
      <w:r>
        <w:rPr>
          <w:spacing w:val="-17"/>
        </w:rPr>
        <w:t xml:space="preserve"> </w:t>
      </w:r>
      <w:r>
        <w:t>and</w:t>
      </w:r>
      <w:r>
        <w:rPr>
          <w:spacing w:val="-14"/>
        </w:rPr>
        <w:t xml:space="preserve"> </w:t>
      </w:r>
      <w:r>
        <w:t>all</w:t>
      </w:r>
      <w:r>
        <w:rPr>
          <w:spacing w:val="-16"/>
        </w:rPr>
        <w:t xml:space="preserve"> </w:t>
      </w:r>
      <w:r>
        <w:t>meetings are subject to Nevada’s Open Meeting Law, NRS</w:t>
      </w:r>
      <w:r>
        <w:rPr>
          <w:spacing w:val="-1"/>
        </w:rPr>
        <w:t xml:space="preserve"> </w:t>
      </w:r>
      <w:r>
        <w:t>241.</w:t>
      </w:r>
    </w:p>
    <w:p w:rsidR="00AA6D37" w:rsidRDefault="00AA6D37">
      <w:pPr>
        <w:pStyle w:val="BodyText"/>
        <w:spacing w:before="9"/>
        <w:rPr>
          <w:sz w:val="25"/>
        </w:rPr>
      </w:pPr>
    </w:p>
    <w:p w:rsidR="00AA6D37" w:rsidRPr="00EE5581" w:rsidRDefault="00FC06D1">
      <w:pPr>
        <w:pStyle w:val="BodyText"/>
        <w:ind w:left="119"/>
        <w:jc w:val="both"/>
        <w:rPr>
          <w:b/>
        </w:rPr>
      </w:pPr>
      <w:r w:rsidRPr="00EE5581">
        <w:rPr>
          <w:b/>
        </w:rPr>
        <w:t>Describe the state’s approach to customer satisfaction:</w:t>
      </w:r>
    </w:p>
    <w:p w:rsidR="00AA6D37" w:rsidRDefault="00AA6D37">
      <w:pPr>
        <w:pStyle w:val="BodyText"/>
        <w:spacing w:before="9"/>
        <w:rPr>
          <w:sz w:val="27"/>
        </w:rPr>
      </w:pPr>
    </w:p>
    <w:p w:rsidR="00AA6D37" w:rsidRDefault="00FC06D1">
      <w:pPr>
        <w:pStyle w:val="BodyText"/>
        <w:spacing w:line="259" w:lineRule="auto"/>
        <w:ind w:left="119" w:right="116"/>
        <w:jc w:val="both"/>
      </w:pPr>
      <w:r w:rsidRPr="007D59A7">
        <w:rPr>
          <w:spacing w:val="-4"/>
        </w:rPr>
        <w:t>Nevada utilizes a survey system, Opinionmeter, with computers in each office designated</w:t>
      </w:r>
      <w:r>
        <w:t xml:space="preserve"> specifically for gathering survey data. Based on the number of customers requesting services at each office, it is determined how many surveys should be completed both weekly and monthly at each JobConnect location. Customers (job seekers) are randomly </w:t>
      </w:r>
      <w:r w:rsidR="002821E5">
        <w:t>selected and</w:t>
      </w:r>
      <w:r>
        <w:t xml:space="preserve"> requested to take the survey after services have been provided by JobConnect, or partner staff. To insure a random</w:t>
      </w:r>
      <w:r>
        <w:rPr>
          <w:spacing w:val="-13"/>
        </w:rPr>
        <w:t xml:space="preserve"> </w:t>
      </w:r>
      <w:r>
        <w:t>selection</w:t>
      </w:r>
      <w:r>
        <w:rPr>
          <w:spacing w:val="-13"/>
        </w:rPr>
        <w:t xml:space="preserve"> </w:t>
      </w:r>
      <w:r>
        <w:t>of</w:t>
      </w:r>
      <w:r>
        <w:rPr>
          <w:spacing w:val="-12"/>
        </w:rPr>
        <w:t xml:space="preserve"> </w:t>
      </w:r>
      <w:r>
        <w:t>customers</w:t>
      </w:r>
      <w:r>
        <w:rPr>
          <w:spacing w:val="-13"/>
        </w:rPr>
        <w:t xml:space="preserve"> </w:t>
      </w:r>
      <w:r>
        <w:t>the</w:t>
      </w:r>
      <w:r>
        <w:rPr>
          <w:spacing w:val="-14"/>
        </w:rPr>
        <w:t xml:space="preserve"> </w:t>
      </w:r>
      <w:r>
        <w:t>person</w:t>
      </w:r>
      <w:r>
        <w:rPr>
          <w:spacing w:val="-11"/>
        </w:rPr>
        <w:t xml:space="preserve"> </w:t>
      </w:r>
      <w:r>
        <w:t>and</w:t>
      </w:r>
      <w:r>
        <w:rPr>
          <w:spacing w:val="-13"/>
        </w:rPr>
        <w:t xml:space="preserve"> </w:t>
      </w:r>
      <w:r>
        <w:t>staff</w:t>
      </w:r>
      <w:r>
        <w:rPr>
          <w:spacing w:val="-12"/>
        </w:rPr>
        <w:t xml:space="preserve"> </w:t>
      </w:r>
      <w:r>
        <w:t>do</w:t>
      </w:r>
      <w:r>
        <w:rPr>
          <w:spacing w:val="-13"/>
        </w:rPr>
        <w:t xml:space="preserve"> </w:t>
      </w:r>
      <w:r>
        <w:t>not</w:t>
      </w:r>
      <w:r>
        <w:rPr>
          <w:spacing w:val="-13"/>
        </w:rPr>
        <w:t xml:space="preserve"> </w:t>
      </w:r>
      <w:r>
        <w:t>know</w:t>
      </w:r>
      <w:r>
        <w:rPr>
          <w:spacing w:val="-14"/>
        </w:rPr>
        <w:t xml:space="preserve"> </w:t>
      </w:r>
      <w:r>
        <w:t>that</w:t>
      </w:r>
      <w:r>
        <w:rPr>
          <w:spacing w:val="-13"/>
        </w:rPr>
        <w:t xml:space="preserve"> </w:t>
      </w:r>
      <w:r>
        <w:t>they</w:t>
      </w:r>
      <w:r>
        <w:rPr>
          <w:spacing w:val="-16"/>
        </w:rPr>
        <w:t xml:space="preserve"> </w:t>
      </w:r>
      <w:r>
        <w:t>will</w:t>
      </w:r>
      <w:r>
        <w:rPr>
          <w:spacing w:val="-13"/>
        </w:rPr>
        <w:t xml:space="preserve"> </w:t>
      </w:r>
      <w:r>
        <w:t>be</w:t>
      </w:r>
      <w:r>
        <w:rPr>
          <w:spacing w:val="-14"/>
        </w:rPr>
        <w:t xml:space="preserve"> </w:t>
      </w:r>
      <w:r>
        <w:t>asked</w:t>
      </w:r>
      <w:r>
        <w:rPr>
          <w:spacing w:val="-13"/>
        </w:rPr>
        <w:t xml:space="preserve"> </w:t>
      </w:r>
      <w:r>
        <w:t>to</w:t>
      </w:r>
      <w:r>
        <w:rPr>
          <w:spacing w:val="-13"/>
        </w:rPr>
        <w:t xml:space="preserve"> </w:t>
      </w:r>
      <w:r>
        <w:t>complete the survey until they are ready to leave the</w:t>
      </w:r>
      <w:r>
        <w:rPr>
          <w:spacing w:val="-15"/>
        </w:rPr>
        <w:t xml:space="preserve"> </w:t>
      </w:r>
      <w:r>
        <w:t>office</w:t>
      </w:r>
      <w:r w:rsidR="00E32837">
        <w:t>.</w:t>
      </w:r>
    </w:p>
    <w:p w:rsidR="00AA6D37" w:rsidRDefault="00AA6D37">
      <w:pPr>
        <w:spacing w:line="259" w:lineRule="auto"/>
        <w:jc w:val="both"/>
        <w:sectPr w:rsidR="00AA6D37">
          <w:pgSz w:w="12240" w:h="15840"/>
          <w:pgMar w:top="1360" w:right="1320" w:bottom="280" w:left="1320" w:header="720" w:footer="720" w:gutter="0"/>
          <w:cols w:space="720"/>
        </w:sectPr>
      </w:pPr>
    </w:p>
    <w:p w:rsidR="00D504E6" w:rsidRPr="00D504E6" w:rsidRDefault="00D504E6">
      <w:pPr>
        <w:pStyle w:val="BodyText"/>
        <w:spacing w:line="259" w:lineRule="auto"/>
        <w:ind w:left="119" w:right="121"/>
        <w:rPr>
          <w:b/>
        </w:rPr>
      </w:pPr>
      <w:r w:rsidRPr="00D504E6">
        <w:rPr>
          <w:b/>
        </w:rPr>
        <w:lastRenderedPageBreak/>
        <w:t xml:space="preserve">Outcomes for the </w:t>
      </w:r>
      <w:r w:rsidR="008E16C5">
        <w:rPr>
          <w:b/>
        </w:rPr>
        <w:t xml:space="preserve">customer </w:t>
      </w:r>
      <w:r w:rsidRPr="00D504E6">
        <w:rPr>
          <w:b/>
        </w:rPr>
        <w:t>surveys:</w:t>
      </w:r>
    </w:p>
    <w:p w:rsidR="00D504E6" w:rsidRDefault="00D504E6">
      <w:pPr>
        <w:pStyle w:val="BodyText"/>
        <w:spacing w:line="259" w:lineRule="auto"/>
        <w:ind w:left="119" w:right="121"/>
      </w:pPr>
    </w:p>
    <w:p w:rsidR="00AA6D37" w:rsidRDefault="00FC06D1">
      <w:pPr>
        <w:pStyle w:val="BodyText"/>
        <w:spacing w:line="259" w:lineRule="auto"/>
        <w:ind w:left="119" w:right="121"/>
      </w:pPr>
      <w:r>
        <w:t>11/18/2018 – 11/15/2019 8,817 surveys completed by individuals 92.88% (= 8941 job seekers) job seekers were satisfied with services and would return to an office</w:t>
      </w:r>
    </w:p>
    <w:p w:rsidR="00AA6D37" w:rsidRDefault="00FC06D1">
      <w:pPr>
        <w:pStyle w:val="BodyText"/>
        <w:tabs>
          <w:tab w:val="left" w:pos="3052"/>
        </w:tabs>
        <w:spacing w:line="259" w:lineRule="auto"/>
        <w:ind w:left="119" w:right="121"/>
      </w:pPr>
      <w:r>
        <w:t>11/18/</w:t>
      </w:r>
      <w:r w:rsidR="002821E5">
        <w:t xml:space="preserve">2018 </w:t>
      </w:r>
      <w:r w:rsidR="002821E5">
        <w:rPr>
          <w:spacing w:val="2"/>
        </w:rPr>
        <w:t>–</w:t>
      </w:r>
      <w:r w:rsidR="002821E5">
        <w:t xml:space="preserve"> </w:t>
      </w:r>
      <w:r w:rsidR="002821E5">
        <w:rPr>
          <w:spacing w:val="2"/>
        </w:rPr>
        <w:t>11</w:t>
      </w:r>
      <w:r>
        <w:t>/15/2019</w:t>
      </w:r>
      <w:r w:rsidR="00E32837">
        <w:t xml:space="preserve"> </w:t>
      </w:r>
      <w:r>
        <w:t>29 surveys were completed by employers with 96.55% (= 28 employers) would use services</w:t>
      </w:r>
      <w:r>
        <w:rPr>
          <w:spacing w:val="-3"/>
        </w:rPr>
        <w:t xml:space="preserve"> </w:t>
      </w:r>
      <w:r>
        <w:t>again.</w:t>
      </w:r>
    </w:p>
    <w:p w:rsidR="00AA6D37" w:rsidRDefault="00FC06D1">
      <w:pPr>
        <w:pStyle w:val="BodyText"/>
        <w:spacing w:line="259" w:lineRule="auto"/>
        <w:ind w:left="119" w:right="121"/>
      </w:pPr>
      <w:r>
        <w:t>11/18/2018 – 11/15/2019 48,846 (new WP) registrations were entered - 8,817 is 18.1 % of new WP registrations.</w:t>
      </w:r>
    </w:p>
    <w:p w:rsidR="00AA6D37" w:rsidRDefault="00FC06D1">
      <w:pPr>
        <w:pStyle w:val="BodyText"/>
        <w:tabs>
          <w:tab w:val="left" w:pos="2887"/>
        </w:tabs>
        <w:spacing w:line="259" w:lineRule="auto"/>
        <w:ind w:left="120" w:right="121"/>
      </w:pPr>
      <w:r>
        <w:t>11/18/2018</w:t>
      </w:r>
      <w:r>
        <w:rPr>
          <w:spacing w:val="15"/>
        </w:rPr>
        <w:t xml:space="preserve"> </w:t>
      </w:r>
      <w:r>
        <w:t>–</w:t>
      </w:r>
      <w:r>
        <w:rPr>
          <w:spacing w:val="15"/>
        </w:rPr>
        <w:t xml:space="preserve"> </w:t>
      </w:r>
      <w:r>
        <w:t>11/15/2019</w:t>
      </w:r>
      <w:r w:rsidR="00CC1F64">
        <w:t xml:space="preserve"> </w:t>
      </w:r>
      <w:r>
        <w:t>1,649 (new self- service, additional employer contact, Staff entered Direct)</w:t>
      </w:r>
    </w:p>
    <w:p w:rsidR="00AA6D37" w:rsidRDefault="00FC06D1">
      <w:pPr>
        <w:pStyle w:val="BodyText"/>
        <w:spacing w:line="259" w:lineRule="auto"/>
        <w:ind w:left="120"/>
      </w:pPr>
      <w:r>
        <w:t>These</w:t>
      </w:r>
      <w:r>
        <w:rPr>
          <w:spacing w:val="-15"/>
        </w:rPr>
        <w:t xml:space="preserve"> </w:t>
      </w:r>
      <w:r>
        <w:t>responses</w:t>
      </w:r>
      <w:r>
        <w:rPr>
          <w:spacing w:val="-14"/>
        </w:rPr>
        <w:t xml:space="preserve"> </w:t>
      </w:r>
      <w:r>
        <w:t>are</w:t>
      </w:r>
      <w:r>
        <w:rPr>
          <w:spacing w:val="-15"/>
        </w:rPr>
        <w:t xml:space="preserve"> </w:t>
      </w:r>
      <w:r>
        <w:t>sent</w:t>
      </w:r>
      <w:r>
        <w:rPr>
          <w:spacing w:val="-12"/>
        </w:rPr>
        <w:t xml:space="preserve"> </w:t>
      </w:r>
      <w:r>
        <w:t>weekly</w:t>
      </w:r>
      <w:r>
        <w:rPr>
          <w:spacing w:val="-19"/>
        </w:rPr>
        <w:t xml:space="preserve"> </w:t>
      </w:r>
      <w:r>
        <w:t>to</w:t>
      </w:r>
      <w:r>
        <w:rPr>
          <w:spacing w:val="-15"/>
        </w:rPr>
        <w:t xml:space="preserve"> </w:t>
      </w:r>
      <w:r>
        <w:t>local</w:t>
      </w:r>
      <w:r>
        <w:rPr>
          <w:spacing w:val="-14"/>
        </w:rPr>
        <w:t xml:space="preserve"> </w:t>
      </w:r>
      <w:r>
        <w:t>office</w:t>
      </w:r>
      <w:r>
        <w:rPr>
          <w:spacing w:val="-15"/>
        </w:rPr>
        <w:t xml:space="preserve"> </w:t>
      </w:r>
      <w:r>
        <w:t>managers</w:t>
      </w:r>
      <w:r>
        <w:rPr>
          <w:spacing w:val="-14"/>
        </w:rPr>
        <w:t xml:space="preserve"> </w:t>
      </w:r>
      <w:r>
        <w:t>and</w:t>
      </w:r>
      <w:r>
        <w:rPr>
          <w:spacing w:val="-14"/>
        </w:rPr>
        <w:t xml:space="preserve"> </w:t>
      </w:r>
      <w:r>
        <w:t>supervisors</w:t>
      </w:r>
      <w:r>
        <w:rPr>
          <w:spacing w:val="-14"/>
        </w:rPr>
        <w:t xml:space="preserve"> </w:t>
      </w:r>
      <w:r>
        <w:t>for</w:t>
      </w:r>
      <w:r>
        <w:rPr>
          <w:spacing w:val="-15"/>
        </w:rPr>
        <w:t xml:space="preserve"> </w:t>
      </w:r>
      <w:r>
        <w:t>review</w:t>
      </w:r>
      <w:r>
        <w:rPr>
          <w:spacing w:val="-13"/>
        </w:rPr>
        <w:t xml:space="preserve"> </w:t>
      </w:r>
      <w:r>
        <w:t>and</w:t>
      </w:r>
      <w:r>
        <w:rPr>
          <w:spacing w:val="-14"/>
        </w:rPr>
        <w:t xml:space="preserve"> </w:t>
      </w:r>
      <w:r>
        <w:t>corrective steps are taken if it is found that the customer was not completely</w:t>
      </w:r>
      <w:r>
        <w:rPr>
          <w:spacing w:val="-11"/>
        </w:rPr>
        <w:t xml:space="preserve"> </w:t>
      </w:r>
      <w:r>
        <w:t>satisfied.</w:t>
      </w:r>
    </w:p>
    <w:p w:rsidR="00AA6D37" w:rsidRDefault="00AA6D37">
      <w:pPr>
        <w:pStyle w:val="BodyText"/>
        <w:rPr>
          <w:sz w:val="26"/>
        </w:rPr>
      </w:pPr>
    </w:p>
    <w:p w:rsidR="00AA6D37" w:rsidRPr="002821E5" w:rsidRDefault="00F12572" w:rsidP="00F12572">
      <w:pPr>
        <w:pStyle w:val="BodyText"/>
        <w:rPr>
          <w:b/>
        </w:rPr>
      </w:pPr>
      <w:r>
        <w:rPr>
          <w:sz w:val="25"/>
        </w:rPr>
        <w:t xml:space="preserve">  </w:t>
      </w:r>
      <w:r w:rsidR="00FC06D1" w:rsidRPr="002821E5">
        <w:rPr>
          <w:b/>
        </w:rPr>
        <w:t>WIOA Title I and Wagner-Peyser</w:t>
      </w:r>
    </w:p>
    <w:p w:rsidR="00AA6D37" w:rsidRDefault="00FC06D1">
      <w:pPr>
        <w:pStyle w:val="BodyText"/>
        <w:spacing w:before="22"/>
        <w:ind w:left="120"/>
      </w:pPr>
      <w:r>
        <w:t>Levels of Performance for Program Year 2018</w:t>
      </w:r>
    </w:p>
    <w:tbl>
      <w:tblPr>
        <w:tblStyle w:val="TableGrid"/>
        <w:tblpPr w:leftFromText="180" w:rightFromText="180" w:vertAnchor="text" w:horzAnchor="margin" w:tblpY="15"/>
        <w:tblW w:w="9783" w:type="dxa"/>
        <w:tblLayout w:type="fixed"/>
        <w:tblLook w:val="01E0" w:firstRow="1" w:lastRow="1" w:firstColumn="1" w:lastColumn="1" w:noHBand="0" w:noVBand="0"/>
      </w:tblPr>
      <w:tblGrid>
        <w:gridCol w:w="3775"/>
        <w:gridCol w:w="3690"/>
        <w:gridCol w:w="2318"/>
      </w:tblGrid>
      <w:tr w:rsidR="002553A4" w:rsidTr="0018290A">
        <w:trPr>
          <w:trHeight w:val="440"/>
        </w:trPr>
        <w:tc>
          <w:tcPr>
            <w:tcW w:w="3775" w:type="dxa"/>
          </w:tcPr>
          <w:p w:rsidR="002553A4" w:rsidRPr="001E22D0" w:rsidRDefault="002553A4" w:rsidP="002553A4">
            <w:pPr>
              <w:pStyle w:val="TableParagraph"/>
              <w:spacing w:line="240" w:lineRule="auto"/>
              <w:rPr>
                <w:sz w:val="24"/>
                <w:szCs w:val="24"/>
              </w:rPr>
            </w:pPr>
            <w:r w:rsidRPr="001E22D0">
              <w:rPr>
                <w:sz w:val="24"/>
                <w:szCs w:val="24"/>
              </w:rPr>
              <w:t>Performance Measures</w:t>
            </w:r>
          </w:p>
        </w:tc>
        <w:tc>
          <w:tcPr>
            <w:tcW w:w="3690" w:type="dxa"/>
          </w:tcPr>
          <w:p w:rsidR="002553A4" w:rsidRPr="001E22D0" w:rsidRDefault="002553A4" w:rsidP="002553A4">
            <w:pPr>
              <w:pStyle w:val="TableParagraph"/>
              <w:spacing w:line="240" w:lineRule="auto"/>
              <w:ind w:left="106"/>
              <w:rPr>
                <w:sz w:val="24"/>
                <w:szCs w:val="24"/>
              </w:rPr>
            </w:pPr>
            <w:r w:rsidRPr="001E22D0">
              <w:rPr>
                <w:sz w:val="24"/>
                <w:szCs w:val="24"/>
              </w:rPr>
              <w:t>Negotiated level of Performance</w:t>
            </w:r>
          </w:p>
        </w:tc>
        <w:tc>
          <w:tcPr>
            <w:tcW w:w="2318" w:type="dxa"/>
          </w:tcPr>
          <w:p w:rsidR="002553A4" w:rsidRPr="001E22D0" w:rsidRDefault="002553A4" w:rsidP="002553A4">
            <w:pPr>
              <w:pStyle w:val="TableParagraph"/>
              <w:spacing w:line="240" w:lineRule="auto"/>
              <w:ind w:left="0"/>
              <w:rPr>
                <w:sz w:val="24"/>
                <w:szCs w:val="24"/>
              </w:rPr>
            </w:pPr>
            <w:r w:rsidRPr="001E22D0">
              <w:rPr>
                <w:sz w:val="24"/>
                <w:szCs w:val="24"/>
              </w:rPr>
              <w:t>Actual Performance</w:t>
            </w:r>
          </w:p>
        </w:tc>
      </w:tr>
      <w:tr w:rsidR="0018290A" w:rsidRPr="001E22D0" w:rsidTr="0018290A">
        <w:trPr>
          <w:trHeight w:val="245"/>
        </w:trPr>
        <w:tc>
          <w:tcPr>
            <w:tcW w:w="3775" w:type="dxa"/>
          </w:tcPr>
          <w:p w:rsidR="0018290A" w:rsidRPr="001E22D0" w:rsidRDefault="0018290A" w:rsidP="001E22D0">
            <w:pPr>
              <w:pStyle w:val="TableParagraph"/>
              <w:spacing w:line="240" w:lineRule="auto"/>
              <w:rPr>
                <w:sz w:val="24"/>
              </w:rPr>
            </w:pPr>
            <w:r>
              <w:rPr>
                <w:sz w:val="24"/>
              </w:rPr>
              <w:tab/>
            </w:r>
            <w:r>
              <w:rPr>
                <w:sz w:val="24"/>
              </w:rPr>
              <w:t>Adults</w:t>
            </w:r>
            <w:r>
              <w:rPr>
                <w:sz w:val="24"/>
              </w:rPr>
              <w:tab/>
            </w:r>
          </w:p>
        </w:tc>
        <w:tc>
          <w:tcPr>
            <w:tcW w:w="3690" w:type="dxa"/>
          </w:tcPr>
          <w:p w:rsidR="0018290A" w:rsidRPr="001E22D0" w:rsidRDefault="0018290A" w:rsidP="001E22D0">
            <w:pPr>
              <w:pStyle w:val="TableParagraph"/>
              <w:spacing w:line="240" w:lineRule="auto"/>
              <w:rPr>
                <w:sz w:val="24"/>
              </w:rPr>
            </w:pPr>
          </w:p>
        </w:tc>
        <w:tc>
          <w:tcPr>
            <w:tcW w:w="2318" w:type="dxa"/>
          </w:tcPr>
          <w:p w:rsidR="0018290A" w:rsidRPr="001E22D0" w:rsidRDefault="0018290A" w:rsidP="001E22D0">
            <w:pPr>
              <w:pStyle w:val="TableParagraph"/>
              <w:spacing w:line="240" w:lineRule="auto"/>
              <w:rPr>
                <w:sz w:val="24"/>
              </w:rPr>
            </w:pPr>
          </w:p>
        </w:tc>
      </w:tr>
      <w:tr w:rsidR="002553A4" w:rsidTr="0018290A">
        <w:trPr>
          <w:trHeight w:val="282"/>
        </w:trPr>
        <w:tc>
          <w:tcPr>
            <w:tcW w:w="3775" w:type="dxa"/>
          </w:tcPr>
          <w:p w:rsidR="002553A4" w:rsidRDefault="002553A4" w:rsidP="002553A4">
            <w:pPr>
              <w:pStyle w:val="TableParagraph"/>
              <w:spacing w:line="277" w:lineRule="exact"/>
              <w:rPr>
                <w:sz w:val="24"/>
              </w:rPr>
            </w:pPr>
            <w:r>
              <w:rPr>
                <w:sz w:val="24"/>
              </w:rPr>
              <w:t>Employment 2</w:t>
            </w:r>
            <w:proofErr w:type="spellStart"/>
            <w:r>
              <w:rPr>
                <w:position w:val="9"/>
                <w:sz w:val="16"/>
              </w:rPr>
              <w:t>nd</w:t>
            </w:r>
            <w:proofErr w:type="spellEnd"/>
            <w:r>
              <w:rPr>
                <w:position w:val="9"/>
                <w:sz w:val="16"/>
              </w:rPr>
              <w:t xml:space="preserve"> </w:t>
            </w:r>
            <w:r>
              <w:rPr>
                <w:sz w:val="24"/>
              </w:rPr>
              <w:t>quarter after exit</w:t>
            </w:r>
          </w:p>
        </w:tc>
        <w:tc>
          <w:tcPr>
            <w:tcW w:w="3690" w:type="dxa"/>
          </w:tcPr>
          <w:p w:rsidR="002553A4" w:rsidRDefault="002553A4" w:rsidP="002553A4">
            <w:pPr>
              <w:pStyle w:val="TableParagraph"/>
              <w:spacing w:before="1" w:line="240" w:lineRule="auto"/>
              <w:ind w:left="1159" w:right="1146"/>
              <w:jc w:val="center"/>
              <w:rPr>
                <w:sz w:val="24"/>
              </w:rPr>
            </w:pPr>
            <w:r>
              <w:rPr>
                <w:sz w:val="24"/>
              </w:rPr>
              <w:t>73.0%</w:t>
            </w:r>
          </w:p>
        </w:tc>
        <w:tc>
          <w:tcPr>
            <w:tcW w:w="2318" w:type="dxa"/>
          </w:tcPr>
          <w:p w:rsidR="002553A4" w:rsidRDefault="002553A4" w:rsidP="002553A4">
            <w:pPr>
              <w:pStyle w:val="TableParagraph"/>
              <w:spacing w:before="1" w:line="240" w:lineRule="auto"/>
              <w:ind w:left="725"/>
              <w:rPr>
                <w:sz w:val="24"/>
              </w:rPr>
            </w:pPr>
            <w:r>
              <w:rPr>
                <w:sz w:val="24"/>
              </w:rPr>
              <w:t>76.3%</w:t>
            </w:r>
          </w:p>
        </w:tc>
      </w:tr>
      <w:tr w:rsidR="002553A4" w:rsidTr="0018290A">
        <w:trPr>
          <w:trHeight w:val="278"/>
        </w:trPr>
        <w:tc>
          <w:tcPr>
            <w:tcW w:w="3775" w:type="dxa"/>
          </w:tcPr>
          <w:p w:rsidR="002553A4" w:rsidRDefault="002553A4" w:rsidP="002553A4">
            <w:pPr>
              <w:pStyle w:val="TableParagraph"/>
              <w:rPr>
                <w:sz w:val="24"/>
              </w:rPr>
            </w:pPr>
            <w:r>
              <w:rPr>
                <w:sz w:val="24"/>
              </w:rPr>
              <w:t>Employment 4</w:t>
            </w:r>
            <w:r>
              <w:rPr>
                <w:position w:val="9"/>
                <w:sz w:val="16"/>
              </w:rPr>
              <w:t xml:space="preserve">th </w:t>
            </w:r>
            <w:r>
              <w:rPr>
                <w:sz w:val="24"/>
              </w:rPr>
              <w:t>quarter after exit</w:t>
            </w:r>
          </w:p>
        </w:tc>
        <w:tc>
          <w:tcPr>
            <w:tcW w:w="3690" w:type="dxa"/>
          </w:tcPr>
          <w:p w:rsidR="002553A4" w:rsidRDefault="002553A4" w:rsidP="002553A4">
            <w:pPr>
              <w:pStyle w:val="TableParagraph"/>
              <w:ind w:left="1159" w:right="1146"/>
              <w:jc w:val="center"/>
              <w:rPr>
                <w:sz w:val="24"/>
              </w:rPr>
            </w:pPr>
            <w:r>
              <w:rPr>
                <w:sz w:val="24"/>
              </w:rPr>
              <w:t>60.40%</w:t>
            </w:r>
          </w:p>
        </w:tc>
        <w:tc>
          <w:tcPr>
            <w:tcW w:w="2318" w:type="dxa"/>
          </w:tcPr>
          <w:p w:rsidR="002553A4" w:rsidRDefault="002553A4" w:rsidP="002553A4">
            <w:pPr>
              <w:pStyle w:val="TableParagraph"/>
              <w:ind w:left="725"/>
              <w:rPr>
                <w:sz w:val="24"/>
              </w:rPr>
            </w:pPr>
            <w:r>
              <w:rPr>
                <w:sz w:val="24"/>
              </w:rPr>
              <w:t>71.2%</w:t>
            </w:r>
          </w:p>
        </w:tc>
      </w:tr>
      <w:tr w:rsidR="002553A4" w:rsidTr="0018290A">
        <w:trPr>
          <w:trHeight w:val="452"/>
        </w:trPr>
        <w:tc>
          <w:tcPr>
            <w:tcW w:w="3775" w:type="dxa"/>
          </w:tcPr>
          <w:p w:rsidR="002553A4" w:rsidRPr="002553A4" w:rsidRDefault="002553A4" w:rsidP="002553A4">
            <w:pPr>
              <w:pStyle w:val="TableParagraph"/>
              <w:spacing w:before="37" w:line="139" w:lineRule="auto"/>
              <w:ind w:left="0" w:right="74"/>
              <w:rPr>
                <w:sz w:val="24"/>
              </w:rPr>
            </w:pPr>
            <w:r>
              <w:rPr>
                <w:sz w:val="24"/>
              </w:rPr>
              <w:t>Median Earnings in the 2</w:t>
            </w:r>
            <w:r w:rsidRPr="002553A4">
              <w:rPr>
                <w:sz w:val="24"/>
                <w:vertAlign w:val="superscript"/>
              </w:rPr>
              <w:t>nd</w:t>
            </w:r>
            <w:r>
              <w:rPr>
                <w:sz w:val="24"/>
              </w:rPr>
              <w:t xml:space="preserve"> quarter after exit</w:t>
            </w:r>
          </w:p>
        </w:tc>
        <w:tc>
          <w:tcPr>
            <w:tcW w:w="3690" w:type="dxa"/>
          </w:tcPr>
          <w:p w:rsidR="002553A4" w:rsidRDefault="002553A4" w:rsidP="002553A4">
            <w:pPr>
              <w:pStyle w:val="TableParagraph"/>
              <w:ind w:left="1159" w:right="1144"/>
              <w:rPr>
                <w:sz w:val="24"/>
              </w:rPr>
            </w:pPr>
            <w:r>
              <w:rPr>
                <w:sz w:val="24"/>
              </w:rPr>
              <w:t>$5,000</w:t>
            </w:r>
          </w:p>
        </w:tc>
        <w:tc>
          <w:tcPr>
            <w:tcW w:w="2318" w:type="dxa"/>
          </w:tcPr>
          <w:p w:rsidR="002553A4" w:rsidRDefault="002553A4" w:rsidP="002553A4">
            <w:pPr>
              <w:pStyle w:val="TableParagraph"/>
              <w:ind w:left="706"/>
              <w:rPr>
                <w:sz w:val="24"/>
              </w:rPr>
            </w:pPr>
            <w:r>
              <w:rPr>
                <w:sz w:val="24"/>
              </w:rPr>
              <w:t>$6,330</w:t>
            </w:r>
          </w:p>
        </w:tc>
      </w:tr>
      <w:tr w:rsidR="002553A4" w:rsidTr="0018290A">
        <w:trPr>
          <w:trHeight w:val="282"/>
        </w:trPr>
        <w:tc>
          <w:tcPr>
            <w:tcW w:w="3775" w:type="dxa"/>
          </w:tcPr>
          <w:p w:rsidR="002553A4" w:rsidRDefault="002553A4" w:rsidP="002553A4">
            <w:pPr>
              <w:pStyle w:val="TableParagraph"/>
              <w:spacing w:before="1" w:line="240" w:lineRule="auto"/>
              <w:rPr>
                <w:sz w:val="24"/>
              </w:rPr>
            </w:pPr>
            <w:r>
              <w:rPr>
                <w:sz w:val="24"/>
              </w:rPr>
              <w:t>Credential attainment rate</w:t>
            </w:r>
          </w:p>
        </w:tc>
        <w:tc>
          <w:tcPr>
            <w:tcW w:w="3690" w:type="dxa"/>
          </w:tcPr>
          <w:p w:rsidR="002553A4" w:rsidRDefault="002553A4" w:rsidP="002553A4">
            <w:pPr>
              <w:pStyle w:val="TableParagraph"/>
              <w:spacing w:before="1" w:line="240" w:lineRule="auto"/>
              <w:ind w:left="1159" w:right="1146"/>
              <w:jc w:val="center"/>
              <w:rPr>
                <w:sz w:val="24"/>
              </w:rPr>
            </w:pPr>
            <w:r>
              <w:rPr>
                <w:sz w:val="24"/>
              </w:rPr>
              <w:t>53.0%</w:t>
            </w:r>
          </w:p>
        </w:tc>
        <w:tc>
          <w:tcPr>
            <w:tcW w:w="2318" w:type="dxa"/>
          </w:tcPr>
          <w:p w:rsidR="002553A4" w:rsidRDefault="002553A4" w:rsidP="002553A4">
            <w:pPr>
              <w:pStyle w:val="TableParagraph"/>
              <w:spacing w:before="1" w:line="240" w:lineRule="auto"/>
              <w:ind w:left="725"/>
              <w:rPr>
                <w:sz w:val="24"/>
              </w:rPr>
            </w:pPr>
            <w:r>
              <w:rPr>
                <w:sz w:val="24"/>
              </w:rPr>
              <w:t>76.9%</w:t>
            </w:r>
          </w:p>
        </w:tc>
      </w:tr>
      <w:tr w:rsidR="0018290A" w:rsidTr="0018290A">
        <w:trPr>
          <w:trHeight w:val="280"/>
        </w:trPr>
        <w:tc>
          <w:tcPr>
            <w:tcW w:w="3775" w:type="dxa"/>
          </w:tcPr>
          <w:p w:rsidR="0018290A" w:rsidRDefault="0018290A" w:rsidP="002553A4">
            <w:pPr>
              <w:pStyle w:val="TableParagraph"/>
              <w:spacing w:line="240" w:lineRule="auto"/>
              <w:ind w:left="0"/>
            </w:pPr>
            <w:r>
              <w:rPr>
                <w:sz w:val="24"/>
              </w:rPr>
              <w:t>Dislocated Workers</w:t>
            </w:r>
          </w:p>
        </w:tc>
        <w:tc>
          <w:tcPr>
            <w:tcW w:w="3690" w:type="dxa"/>
          </w:tcPr>
          <w:p w:rsidR="0018290A" w:rsidRDefault="0018290A" w:rsidP="002553A4">
            <w:pPr>
              <w:pStyle w:val="TableParagraph"/>
              <w:spacing w:line="240" w:lineRule="auto"/>
              <w:ind w:left="0"/>
            </w:pPr>
          </w:p>
        </w:tc>
        <w:tc>
          <w:tcPr>
            <w:tcW w:w="2318" w:type="dxa"/>
          </w:tcPr>
          <w:p w:rsidR="0018290A" w:rsidRDefault="0018290A" w:rsidP="002553A4">
            <w:pPr>
              <w:pStyle w:val="TableParagraph"/>
              <w:spacing w:line="240" w:lineRule="auto"/>
              <w:ind w:left="0"/>
            </w:pPr>
          </w:p>
        </w:tc>
      </w:tr>
      <w:tr w:rsidR="002553A4" w:rsidTr="0018290A">
        <w:trPr>
          <w:trHeight w:val="282"/>
        </w:trPr>
        <w:tc>
          <w:tcPr>
            <w:tcW w:w="3775" w:type="dxa"/>
          </w:tcPr>
          <w:p w:rsidR="002553A4" w:rsidRDefault="002553A4" w:rsidP="002553A4">
            <w:pPr>
              <w:pStyle w:val="TableParagraph"/>
              <w:rPr>
                <w:sz w:val="24"/>
              </w:rPr>
            </w:pPr>
            <w:r>
              <w:rPr>
                <w:sz w:val="24"/>
              </w:rPr>
              <w:t>Employment 2</w:t>
            </w:r>
            <w:proofErr w:type="spellStart"/>
            <w:r>
              <w:rPr>
                <w:position w:val="9"/>
                <w:sz w:val="16"/>
              </w:rPr>
              <w:t>nd</w:t>
            </w:r>
            <w:proofErr w:type="spellEnd"/>
            <w:r>
              <w:rPr>
                <w:position w:val="9"/>
                <w:sz w:val="16"/>
              </w:rPr>
              <w:t xml:space="preserve"> </w:t>
            </w:r>
            <w:r>
              <w:rPr>
                <w:sz w:val="24"/>
              </w:rPr>
              <w:t>quarter after exit</w:t>
            </w:r>
          </w:p>
        </w:tc>
        <w:tc>
          <w:tcPr>
            <w:tcW w:w="3690" w:type="dxa"/>
          </w:tcPr>
          <w:p w:rsidR="002553A4" w:rsidRDefault="002553A4" w:rsidP="002553A4">
            <w:pPr>
              <w:pStyle w:val="TableParagraph"/>
              <w:ind w:left="1159" w:right="1146"/>
              <w:jc w:val="center"/>
              <w:rPr>
                <w:sz w:val="24"/>
              </w:rPr>
            </w:pPr>
            <w:r>
              <w:rPr>
                <w:sz w:val="24"/>
              </w:rPr>
              <w:t>82.1%</w:t>
            </w:r>
          </w:p>
        </w:tc>
        <w:tc>
          <w:tcPr>
            <w:tcW w:w="2318" w:type="dxa"/>
          </w:tcPr>
          <w:p w:rsidR="002553A4" w:rsidRDefault="002553A4" w:rsidP="002553A4">
            <w:pPr>
              <w:pStyle w:val="TableParagraph"/>
              <w:ind w:left="697"/>
              <w:rPr>
                <w:sz w:val="24"/>
              </w:rPr>
            </w:pPr>
            <w:r>
              <w:rPr>
                <w:sz w:val="24"/>
              </w:rPr>
              <w:t>80.2 %</w:t>
            </w:r>
          </w:p>
        </w:tc>
      </w:tr>
      <w:tr w:rsidR="002553A4" w:rsidTr="0018290A">
        <w:trPr>
          <w:trHeight w:val="280"/>
        </w:trPr>
        <w:tc>
          <w:tcPr>
            <w:tcW w:w="3775" w:type="dxa"/>
          </w:tcPr>
          <w:p w:rsidR="002553A4" w:rsidRDefault="002553A4" w:rsidP="002553A4">
            <w:pPr>
              <w:pStyle w:val="TableParagraph"/>
              <w:rPr>
                <w:sz w:val="24"/>
              </w:rPr>
            </w:pPr>
            <w:r>
              <w:rPr>
                <w:sz w:val="24"/>
              </w:rPr>
              <w:t>Employment 4</w:t>
            </w:r>
            <w:r>
              <w:rPr>
                <w:position w:val="9"/>
                <w:sz w:val="16"/>
              </w:rPr>
              <w:t xml:space="preserve">th </w:t>
            </w:r>
            <w:r>
              <w:rPr>
                <w:sz w:val="24"/>
              </w:rPr>
              <w:t>quarter after exit</w:t>
            </w:r>
          </w:p>
        </w:tc>
        <w:tc>
          <w:tcPr>
            <w:tcW w:w="3690" w:type="dxa"/>
          </w:tcPr>
          <w:p w:rsidR="002553A4" w:rsidRDefault="002553A4" w:rsidP="002553A4">
            <w:pPr>
              <w:pStyle w:val="TableParagraph"/>
              <w:ind w:left="1159" w:right="1146"/>
              <w:jc w:val="center"/>
              <w:rPr>
                <w:sz w:val="24"/>
              </w:rPr>
            </w:pPr>
            <w:r>
              <w:rPr>
                <w:sz w:val="24"/>
              </w:rPr>
              <w:t>64.3%</w:t>
            </w:r>
          </w:p>
        </w:tc>
        <w:tc>
          <w:tcPr>
            <w:tcW w:w="2318" w:type="dxa"/>
          </w:tcPr>
          <w:p w:rsidR="002553A4" w:rsidRDefault="002553A4" w:rsidP="002553A4">
            <w:pPr>
              <w:pStyle w:val="TableParagraph"/>
              <w:ind w:left="697"/>
              <w:rPr>
                <w:sz w:val="24"/>
              </w:rPr>
            </w:pPr>
            <w:r>
              <w:rPr>
                <w:sz w:val="24"/>
              </w:rPr>
              <w:t>84.9 %</w:t>
            </w:r>
          </w:p>
        </w:tc>
      </w:tr>
      <w:tr w:rsidR="002553A4" w:rsidTr="0018290A">
        <w:trPr>
          <w:trHeight w:val="443"/>
        </w:trPr>
        <w:tc>
          <w:tcPr>
            <w:tcW w:w="3775" w:type="dxa"/>
          </w:tcPr>
          <w:p w:rsidR="002553A4" w:rsidRPr="002553A4" w:rsidRDefault="002553A4" w:rsidP="002553A4">
            <w:pPr>
              <w:pStyle w:val="TableParagraph"/>
              <w:spacing w:before="37" w:line="139" w:lineRule="auto"/>
              <w:ind w:left="0" w:right="74"/>
              <w:rPr>
                <w:sz w:val="24"/>
                <w:szCs w:val="24"/>
              </w:rPr>
            </w:pPr>
            <w:r w:rsidRPr="002553A4">
              <w:rPr>
                <w:sz w:val="24"/>
                <w:szCs w:val="24"/>
              </w:rPr>
              <w:t>Median Earnings in the 2</w:t>
            </w:r>
            <w:r w:rsidRPr="002553A4">
              <w:rPr>
                <w:sz w:val="24"/>
                <w:szCs w:val="24"/>
                <w:vertAlign w:val="superscript"/>
              </w:rPr>
              <w:t>nd</w:t>
            </w:r>
            <w:r w:rsidRPr="002553A4">
              <w:rPr>
                <w:sz w:val="24"/>
                <w:szCs w:val="24"/>
              </w:rPr>
              <w:t xml:space="preserve"> quarter after exit</w:t>
            </w:r>
          </w:p>
        </w:tc>
        <w:tc>
          <w:tcPr>
            <w:tcW w:w="3690" w:type="dxa"/>
          </w:tcPr>
          <w:p w:rsidR="002553A4" w:rsidRDefault="002553A4" w:rsidP="002553A4">
            <w:pPr>
              <w:pStyle w:val="TableParagraph"/>
              <w:ind w:left="1158" w:right="1146"/>
              <w:jc w:val="center"/>
              <w:rPr>
                <w:sz w:val="24"/>
              </w:rPr>
            </w:pPr>
            <w:r>
              <w:rPr>
                <w:sz w:val="24"/>
              </w:rPr>
              <w:t>$6, 700</w:t>
            </w:r>
          </w:p>
        </w:tc>
        <w:tc>
          <w:tcPr>
            <w:tcW w:w="2318" w:type="dxa"/>
          </w:tcPr>
          <w:p w:rsidR="002553A4" w:rsidRDefault="002553A4" w:rsidP="002553A4">
            <w:pPr>
              <w:pStyle w:val="TableParagraph"/>
              <w:ind w:left="706"/>
              <w:rPr>
                <w:sz w:val="24"/>
              </w:rPr>
            </w:pPr>
            <w:r>
              <w:rPr>
                <w:sz w:val="24"/>
              </w:rPr>
              <w:t>$7,800</w:t>
            </w:r>
          </w:p>
        </w:tc>
      </w:tr>
      <w:tr w:rsidR="002553A4" w:rsidTr="0018290A">
        <w:trPr>
          <w:trHeight w:val="282"/>
        </w:trPr>
        <w:tc>
          <w:tcPr>
            <w:tcW w:w="3775" w:type="dxa"/>
          </w:tcPr>
          <w:p w:rsidR="002553A4" w:rsidRDefault="002553A4" w:rsidP="002553A4">
            <w:pPr>
              <w:pStyle w:val="TableParagraph"/>
              <w:spacing w:before="1" w:line="240" w:lineRule="auto"/>
              <w:rPr>
                <w:sz w:val="24"/>
              </w:rPr>
            </w:pPr>
            <w:r>
              <w:rPr>
                <w:sz w:val="24"/>
              </w:rPr>
              <w:t>Credential attainment rate</w:t>
            </w:r>
          </w:p>
        </w:tc>
        <w:tc>
          <w:tcPr>
            <w:tcW w:w="3690" w:type="dxa"/>
          </w:tcPr>
          <w:p w:rsidR="002553A4" w:rsidRDefault="002553A4" w:rsidP="002553A4">
            <w:pPr>
              <w:pStyle w:val="TableParagraph"/>
              <w:spacing w:before="1" w:line="240" w:lineRule="auto"/>
              <w:ind w:left="1159" w:right="1146"/>
              <w:jc w:val="center"/>
              <w:rPr>
                <w:sz w:val="24"/>
              </w:rPr>
            </w:pPr>
            <w:r>
              <w:rPr>
                <w:sz w:val="24"/>
              </w:rPr>
              <w:t>60.0%</w:t>
            </w:r>
          </w:p>
        </w:tc>
        <w:tc>
          <w:tcPr>
            <w:tcW w:w="2318" w:type="dxa"/>
          </w:tcPr>
          <w:p w:rsidR="002553A4" w:rsidRDefault="002553A4" w:rsidP="002553A4">
            <w:pPr>
              <w:pStyle w:val="TableParagraph"/>
              <w:spacing w:before="1" w:line="240" w:lineRule="auto"/>
              <w:ind w:left="697"/>
              <w:rPr>
                <w:sz w:val="24"/>
              </w:rPr>
            </w:pPr>
            <w:r>
              <w:rPr>
                <w:sz w:val="24"/>
              </w:rPr>
              <w:t>81.4 %</w:t>
            </w:r>
          </w:p>
        </w:tc>
      </w:tr>
      <w:tr w:rsidR="0018290A" w:rsidTr="0018290A">
        <w:trPr>
          <w:trHeight w:val="278"/>
        </w:trPr>
        <w:tc>
          <w:tcPr>
            <w:tcW w:w="3775" w:type="dxa"/>
          </w:tcPr>
          <w:p w:rsidR="0018290A" w:rsidRDefault="0018290A" w:rsidP="0018290A">
            <w:pPr>
              <w:pStyle w:val="TableParagraph"/>
              <w:spacing w:line="240" w:lineRule="auto"/>
            </w:pPr>
            <w:r>
              <w:rPr>
                <w:sz w:val="24"/>
              </w:rPr>
              <w:t>Youth</w:t>
            </w:r>
          </w:p>
        </w:tc>
        <w:tc>
          <w:tcPr>
            <w:tcW w:w="3690" w:type="dxa"/>
          </w:tcPr>
          <w:p w:rsidR="0018290A" w:rsidRDefault="0018290A" w:rsidP="0018290A">
            <w:pPr>
              <w:pStyle w:val="TableParagraph"/>
              <w:spacing w:line="240" w:lineRule="auto"/>
            </w:pPr>
          </w:p>
        </w:tc>
        <w:tc>
          <w:tcPr>
            <w:tcW w:w="2318" w:type="dxa"/>
          </w:tcPr>
          <w:p w:rsidR="0018290A" w:rsidRDefault="0018290A" w:rsidP="0018290A">
            <w:pPr>
              <w:pStyle w:val="TableParagraph"/>
              <w:spacing w:line="240" w:lineRule="auto"/>
            </w:pPr>
          </w:p>
        </w:tc>
      </w:tr>
      <w:tr w:rsidR="002553A4" w:rsidTr="0018290A">
        <w:trPr>
          <w:trHeight w:val="844"/>
        </w:trPr>
        <w:tc>
          <w:tcPr>
            <w:tcW w:w="3775" w:type="dxa"/>
            <w:tcBorders>
              <w:bottom w:val="single" w:sz="4" w:space="0" w:color="auto"/>
            </w:tcBorders>
          </w:tcPr>
          <w:p w:rsidR="002553A4" w:rsidRDefault="002553A4" w:rsidP="002553A4">
            <w:pPr>
              <w:pStyle w:val="TableParagraph"/>
              <w:rPr>
                <w:sz w:val="24"/>
              </w:rPr>
            </w:pPr>
            <w:r>
              <w:rPr>
                <w:sz w:val="24"/>
              </w:rPr>
              <w:t>Education or training activities or</w:t>
            </w:r>
          </w:p>
          <w:p w:rsidR="002553A4" w:rsidRDefault="002553A4" w:rsidP="002553A4">
            <w:pPr>
              <w:pStyle w:val="TableParagraph"/>
              <w:spacing w:before="6" w:line="290" w:lineRule="atLeast"/>
              <w:ind w:right="15"/>
              <w:rPr>
                <w:sz w:val="24"/>
              </w:rPr>
            </w:pPr>
            <w:r>
              <w:rPr>
                <w:sz w:val="24"/>
              </w:rPr>
              <w:t>employment in the 2</w:t>
            </w:r>
            <w:r>
              <w:rPr>
                <w:position w:val="9"/>
                <w:sz w:val="16"/>
              </w:rPr>
              <w:t xml:space="preserve">nd </w:t>
            </w:r>
            <w:r>
              <w:rPr>
                <w:sz w:val="24"/>
              </w:rPr>
              <w:t>quarter after exit</w:t>
            </w:r>
          </w:p>
        </w:tc>
        <w:tc>
          <w:tcPr>
            <w:tcW w:w="3690" w:type="dxa"/>
            <w:tcBorders>
              <w:bottom w:val="single" w:sz="4" w:space="0" w:color="auto"/>
            </w:tcBorders>
          </w:tcPr>
          <w:p w:rsidR="002553A4" w:rsidRDefault="002553A4" w:rsidP="002553A4">
            <w:pPr>
              <w:pStyle w:val="TableParagraph"/>
              <w:ind w:left="1159" w:right="1146"/>
              <w:jc w:val="center"/>
              <w:rPr>
                <w:sz w:val="24"/>
              </w:rPr>
            </w:pPr>
            <w:r>
              <w:rPr>
                <w:sz w:val="24"/>
              </w:rPr>
              <w:t>60.0%</w:t>
            </w:r>
          </w:p>
        </w:tc>
        <w:tc>
          <w:tcPr>
            <w:tcW w:w="2318" w:type="dxa"/>
            <w:tcBorders>
              <w:bottom w:val="single" w:sz="4" w:space="0" w:color="auto"/>
            </w:tcBorders>
          </w:tcPr>
          <w:p w:rsidR="002553A4" w:rsidRDefault="002553A4" w:rsidP="002553A4">
            <w:pPr>
              <w:pStyle w:val="TableParagraph"/>
              <w:ind w:left="725"/>
              <w:rPr>
                <w:sz w:val="24"/>
              </w:rPr>
            </w:pPr>
            <w:r>
              <w:rPr>
                <w:sz w:val="24"/>
              </w:rPr>
              <w:t>67.3%</w:t>
            </w:r>
          </w:p>
        </w:tc>
      </w:tr>
    </w:tbl>
    <w:tbl>
      <w:tblPr>
        <w:tblStyle w:val="TableGrid"/>
        <w:tblW w:w="9810" w:type="dxa"/>
        <w:tblLayout w:type="fixed"/>
        <w:tblLook w:val="01E0" w:firstRow="1" w:lastRow="1" w:firstColumn="1" w:lastColumn="1" w:noHBand="0" w:noVBand="0"/>
      </w:tblPr>
      <w:tblGrid>
        <w:gridCol w:w="3777"/>
        <w:gridCol w:w="3688"/>
        <w:gridCol w:w="2345"/>
      </w:tblGrid>
      <w:tr w:rsidR="002553A4" w:rsidTr="0018290A">
        <w:trPr>
          <w:trHeight w:val="910"/>
        </w:trPr>
        <w:tc>
          <w:tcPr>
            <w:tcW w:w="3778" w:type="dxa"/>
          </w:tcPr>
          <w:p w:rsidR="002553A4" w:rsidRDefault="002553A4" w:rsidP="00804B60">
            <w:pPr>
              <w:pStyle w:val="TableParagraph"/>
              <w:spacing w:line="259" w:lineRule="auto"/>
              <w:rPr>
                <w:sz w:val="24"/>
              </w:rPr>
            </w:pPr>
            <w:r>
              <w:rPr>
                <w:sz w:val="24"/>
              </w:rPr>
              <w:t>Education or training activities or employment in the 4th quarter</w:t>
            </w:r>
          </w:p>
          <w:p w:rsidR="002553A4" w:rsidRDefault="002553A4" w:rsidP="00804B60">
            <w:pPr>
              <w:pStyle w:val="TableParagraph"/>
              <w:rPr>
                <w:sz w:val="24"/>
              </w:rPr>
            </w:pPr>
            <w:r>
              <w:rPr>
                <w:sz w:val="24"/>
              </w:rPr>
              <w:t>after exit</w:t>
            </w:r>
          </w:p>
        </w:tc>
        <w:tc>
          <w:tcPr>
            <w:tcW w:w="3688" w:type="dxa"/>
          </w:tcPr>
          <w:p w:rsidR="002553A4" w:rsidRDefault="002553A4" w:rsidP="00804B60">
            <w:pPr>
              <w:pStyle w:val="TableParagraph"/>
              <w:ind w:left="1240"/>
              <w:rPr>
                <w:sz w:val="24"/>
              </w:rPr>
            </w:pPr>
            <w:r>
              <w:rPr>
                <w:sz w:val="24"/>
              </w:rPr>
              <w:t>48.0%</w:t>
            </w:r>
          </w:p>
        </w:tc>
        <w:tc>
          <w:tcPr>
            <w:tcW w:w="2344" w:type="dxa"/>
          </w:tcPr>
          <w:p w:rsidR="002553A4" w:rsidRDefault="002553A4" w:rsidP="00804B60">
            <w:pPr>
              <w:pStyle w:val="TableParagraph"/>
              <w:ind w:left="685" w:right="658"/>
              <w:jc w:val="center"/>
              <w:rPr>
                <w:sz w:val="24"/>
              </w:rPr>
            </w:pPr>
            <w:r>
              <w:rPr>
                <w:sz w:val="24"/>
              </w:rPr>
              <w:t>66.7%</w:t>
            </w:r>
          </w:p>
        </w:tc>
      </w:tr>
      <w:tr w:rsidR="002553A4" w:rsidTr="0018290A">
        <w:trPr>
          <w:trHeight w:val="300"/>
        </w:trPr>
        <w:tc>
          <w:tcPr>
            <w:tcW w:w="3778" w:type="dxa"/>
          </w:tcPr>
          <w:p w:rsidR="002553A4" w:rsidRDefault="002553A4" w:rsidP="00804B60">
            <w:pPr>
              <w:pStyle w:val="TableParagraph"/>
              <w:rPr>
                <w:sz w:val="24"/>
              </w:rPr>
            </w:pPr>
            <w:r>
              <w:rPr>
                <w:sz w:val="24"/>
              </w:rPr>
              <w:t>Credential attainment rate</w:t>
            </w:r>
          </w:p>
        </w:tc>
        <w:tc>
          <w:tcPr>
            <w:tcW w:w="3688" w:type="dxa"/>
          </w:tcPr>
          <w:p w:rsidR="002553A4" w:rsidRDefault="002553A4" w:rsidP="00804B60">
            <w:pPr>
              <w:pStyle w:val="TableParagraph"/>
              <w:ind w:left="1240"/>
              <w:rPr>
                <w:sz w:val="24"/>
              </w:rPr>
            </w:pPr>
            <w:r>
              <w:rPr>
                <w:sz w:val="24"/>
              </w:rPr>
              <w:t>40.0%</w:t>
            </w:r>
          </w:p>
        </w:tc>
        <w:tc>
          <w:tcPr>
            <w:tcW w:w="2344" w:type="dxa"/>
          </w:tcPr>
          <w:p w:rsidR="002553A4" w:rsidRDefault="002553A4" w:rsidP="00804B60">
            <w:pPr>
              <w:pStyle w:val="TableParagraph"/>
              <w:ind w:left="685" w:right="658"/>
              <w:jc w:val="center"/>
              <w:rPr>
                <w:sz w:val="24"/>
              </w:rPr>
            </w:pPr>
            <w:r>
              <w:rPr>
                <w:sz w:val="24"/>
              </w:rPr>
              <w:t>52.9%</w:t>
            </w:r>
          </w:p>
        </w:tc>
      </w:tr>
      <w:tr w:rsidR="0018290A" w:rsidTr="0018290A">
        <w:trPr>
          <w:trHeight w:val="279"/>
        </w:trPr>
        <w:tc>
          <w:tcPr>
            <w:tcW w:w="3778" w:type="dxa"/>
          </w:tcPr>
          <w:p w:rsidR="0018290A" w:rsidRDefault="0018290A" w:rsidP="00804B60">
            <w:pPr>
              <w:pStyle w:val="TableParagraph"/>
              <w:spacing w:line="240" w:lineRule="auto"/>
              <w:ind w:left="0"/>
              <w:rPr>
                <w:sz w:val="20"/>
              </w:rPr>
            </w:pPr>
            <w:bookmarkStart w:id="0" w:name="_GoBack" w:colFirst="2" w:colLast="2"/>
            <w:r>
              <w:rPr>
                <w:sz w:val="24"/>
              </w:rPr>
              <w:t>Wagner-</w:t>
            </w:r>
            <w:proofErr w:type="spellStart"/>
            <w:r>
              <w:rPr>
                <w:sz w:val="24"/>
              </w:rPr>
              <w:t>Peyser</w:t>
            </w:r>
            <w:proofErr w:type="spellEnd"/>
          </w:p>
        </w:tc>
        <w:tc>
          <w:tcPr>
            <w:tcW w:w="3687" w:type="dxa"/>
          </w:tcPr>
          <w:p w:rsidR="0018290A" w:rsidRDefault="0018290A" w:rsidP="00804B60">
            <w:pPr>
              <w:pStyle w:val="TableParagraph"/>
              <w:spacing w:line="240" w:lineRule="auto"/>
              <w:ind w:left="0"/>
              <w:rPr>
                <w:sz w:val="20"/>
              </w:rPr>
            </w:pPr>
          </w:p>
        </w:tc>
        <w:tc>
          <w:tcPr>
            <w:tcW w:w="2345" w:type="dxa"/>
          </w:tcPr>
          <w:p w:rsidR="0018290A" w:rsidRDefault="0018290A" w:rsidP="00804B60">
            <w:pPr>
              <w:pStyle w:val="TableParagraph"/>
              <w:spacing w:line="240" w:lineRule="auto"/>
              <w:ind w:left="0"/>
              <w:rPr>
                <w:sz w:val="20"/>
              </w:rPr>
            </w:pPr>
          </w:p>
        </w:tc>
      </w:tr>
      <w:bookmarkEnd w:id="0"/>
      <w:tr w:rsidR="002553A4" w:rsidTr="0018290A">
        <w:trPr>
          <w:trHeight w:val="560"/>
        </w:trPr>
        <w:tc>
          <w:tcPr>
            <w:tcW w:w="3778" w:type="dxa"/>
          </w:tcPr>
          <w:p w:rsidR="002553A4" w:rsidRDefault="002553A4" w:rsidP="00804B60">
            <w:pPr>
              <w:pStyle w:val="TableParagraph"/>
              <w:spacing w:before="2" w:line="276" w:lineRule="exact"/>
              <w:ind w:right="474"/>
              <w:rPr>
                <w:sz w:val="24"/>
              </w:rPr>
            </w:pPr>
            <w:r>
              <w:rPr>
                <w:sz w:val="24"/>
              </w:rPr>
              <w:t>Employment 2</w:t>
            </w:r>
            <w:proofErr w:type="spellStart"/>
            <w:r>
              <w:rPr>
                <w:position w:val="9"/>
                <w:sz w:val="16"/>
              </w:rPr>
              <w:t>nd</w:t>
            </w:r>
            <w:proofErr w:type="spellEnd"/>
            <w:r>
              <w:rPr>
                <w:position w:val="9"/>
                <w:sz w:val="16"/>
              </w:rPr>
              <w:t xml:space="preserve"> </w:t>
            </w:r>
            <w:r>
              <w:rPr>
                <w:sz w:val="24"/>
              </w:rPr>
              <w:t>quarter after exit</w:t>
            </w:r>
          </w:p>
        </w:tc>
        <w:tc>
          <w:tcPr>
            <w:tcW w:w="3688" w:type="dxa"/>
          </w:tcPr>
          <w:p w:rsidR="002553A4" w:rsidRDefault="002553A4" w:rsidP="00804B60">
            <w:pPr>
              <w:pStyle w:val="TableParagraph"/>
              <w:ind w:left="1240"/>
              <w:rPr>
                <w:sz w:val="24"/>
              </w:rPr>
            </w:pPr>
            <w:r>
              <w:rPr>
                <w:sz w:val="24"/>
              </w:rPr>
              <w:t>71.5%</w:t>
            </w:r>
          </w:p>
        </w:tc>
        <w:tc>
          <w:tcPr>
            <w:tcW w:w="2344" w:type="dxa"/>
          </w:tcPr>
          <w:p w:rsidR="002553A4" w:rsidRDefault="002553A4" w:rsidP="00804B60">
            <w:pPr>
              <w:pStyle w:val="TableParagraph"/>
              <w:ind w:left="685" w:right="658"/>
              <w:jc w:val="center"/>
              <w:rPr>
                <w:sz w:val="24"/>
              </w:rPr>
            </w:pPr>
            <w:r>
              <w:rPr>
                <w:sz w:val="24"/>
              </w:rPr>
              <w:t>72.7%</w:t>
            </w:r>
          </w:p>
        </w:tc>
      </w:tr>
      <w:tr w:rsidR="002553A4" w:rsidTr="0018290A">
        <w:trPr>
          <w:trHeight w:val="560"/>
        </w:trPr>
        <w:tc>
          <w:tcPr>
            <w:tcW w:w="3778" w:type="dxa"/>
          </w:tcPr>
          <w:p w:rsidR="002553A4" w:rsidRDefault="002553A4" w:rsidP="00804B60">
            <w:pPr>
              <w:pStyle w:val="TableParagraph"/>
              <w:spacing w:before="2" w:line="276" w:lineRule="exact"/>
              <w:ind w:right="474"/>
              <w:rPr>
                <w:sz w:val="24"/>
              </w:rPr>
            </w:pPr>
            <w:r>
              <w:rPr>
                <w:sz w:val="24"/>
              </w:rPr>
              <w:t>Employment 4</w:t>
            </w:r>
            <w:proofErr w:type="spellStart"/>
            <w:r>
              <w:rPr>
                <w:position w:val="9"/>
                <w:sz w:val="16"/>
              </w:rPr>
              <w:t>th</w:t>
            </w:r>
            <w:proofErr w:type="spellEnd"/>
            <w:r>
              <w:rPr>
                <w:position w:val="9"/>
                <w:sz w:val="16"/>
              </w:rPr>
              <w:t xml:space="preserve"> </w:t>
            </w:r>
            <w:r>
              <w:rPr>
                <w:sz w:val="24"/>
              </w:rPr>
              <w:t>quarter after exit</w:t>
            </w:r>
          </w:p>
        </w:tc>
        <w:tc>
          <w:tcPr>
            <w:tcW w:w="3688" w:type="dxa"/>
          </w:tcPr>
          <w:p w:rsidR="002553A4" w:rsidRDefault="002553A4" w:rsidP="00804B60">
            <w:pPr>
              <w:pStyle w:val="TableParagraph"/>
              <w:ind w:left="1240"/>
              <w:rPr>
                <w:sz w:val="24"/>
              </w:rPr>
            </w:pPr>
            <w:r>
              <w:rPr>
                <w:sz w:val="24"/>
              </w:rPr>
              <w:t>60.0%</w:t>
            </w:r>
          </w:p>
        </w:tc>
        <w:tc>
          <w:tcPr>
            <w:tcW w:w="2344" w:type="dxa"/>
          </w:tcPr>
          <w:p w:rsidR="002553A4" w:rsidRDefault="002553A4" w:rsidP="00804B60">
            <w:pPr>
              <w:pStyle w:val="TableParagraph"/>
              <w:ind w:left="685" w:right="658"/>
              <w:jc w:val="center"/>
              <w:rPr>
                <w:sz w:val="24"/>
              </w:rPr>
            </w:pPr>
            <w:r>
              <w:rPr>
                <w:sz w:val="24"/>
              </w:rPr>
              <w:t>72.5%</w:t>
            </w:r>
          </w:p>
        </w:tc>
      </w:tr>
      <w:tr w:rsidR="002553A4" w:rsidTr="0018290A">
        <w:trPr>
          <w:trHeight w:val="273"/>
        </w:trPr>
        <w:tc>
          <w:tcPr>
            <w:tcW w:w="3778" w:type="dxa"/>
          </w:tcPr>
          <w:p w:rsidR="002553A4" w:rsidRDefault="002553A4" w:rsidP="00804B60">
            <w:pPr>
              <w:pStyle w:val="TableParagraph"/>
              <w:spacing w:line="254" w:lineRule="exact"/>
              <w:rPr>
                <w:sz w:val="24"/>
              </w:rPr>
            </w:pPr>
            <w:r>
              <w:rPr>
                <w:sz w:val="24"/>
              </w:rPr>
              <w:t>Median Earnings</w:t>
            </w:r>
          </w:p>
        </w:tc>
        <w:tc>
          <w:tcPr>
            <w:tcW w:w="3688" w:type="dxa"/>
          </w:tcPr>
          <w:p w:rsidR="002553A4" w:rsidRDefault="002553A4" w:rsidP="00804B60">
            <w:pPr>
              <w:pStyle w:val="TableParagraph"/>
              <w:spacing w:line="254" w:lineRule="exact"/>
              <w:ind w:left="1221"/>
              <w:rPr>
                <w:sz w:val="24"/>
              </w:rPr>
            </w:pPr>
            <w:r>
              <w:rPr>
                <w:sz w:val="24"/>
              </w:rPr>
              <w:t>$4,656</w:t>
            </w:r>
          </w:p>
        </w:tc>
        <w:tc>
          <w:tcPr>
            <w:tcW w:w="2344" w:type="dxa"/>
          </w:tcPr>
          <w:p w:rsidR="002553A4" w:rsidRDefault="002553A4" w:rsidP="00804B60">
            <w:pPr>
              <w:pStyle w:val="TableParagraph"/>
              <w:spacing w:line="254" w:lineRule="exact"/>
              <w:ind w:left="687" w:right="658"/>
              <w:jc w:val="center"/>
              <w:rPr>
                <w:sz w:val="24"/>
              </w:rPr>
            </w:pPr>
            <w:r>
              <w:rPr>
                <w:sz w:val="24"/>
              </w:rPr>
              <w:t>$5,292</w:t>
            </w:r>
          </w:p>
        </w:tc>
      </w:tr>
    </w:tbl>
    <w:p w:rsidR="00AA6D37" w:rsidRDefault="00AA6D37">
      <w:pPr>
        <w:pStyle w:val="BodyText"/>
        <w:rPr>
          <w:sz w:val="20"/>
        </w:rPr>
      </w:pPr>
    </w:p>
    <w:p w:rsidR="00AA6D37" w:rsidRDefault="00AA6D37">
      <w:pPr>
        <w:pStyle w:val="BodyText"/>
        <w:rPr>
          <w:sz w:val="20"/>
        </w:rPr>
      </w:pPr>
    </w:p>
    <w:p w:rsidR="00AA6D37" w:rsidRDefault="00AA6D37">
      <w:pPr>
        <w:pStyle w:val="BodyText"/>
        <w:rPr>
          <w:sz w:val="20"/>
        </w:rPr>
      </w:pPr>
    </w:p>
    <w:p w:rsidR="00AA6D37" w:rsidRDefault="00AA6D37">
      <w:pPr>
        <w:pStyle w:val="BodyText"/>
        <w:spacing w:before="9" w:after="1"/>
        <w:rPr>
          <w:sz w:val="20"/>
        </w:rPr>
      </w:pPr>
    </w:p>
    <w:p w:rsidR="00AA6D37" w:rsidRDefault="00AA6D37">
      <w:pPr>
        <w:rPr>
          <w:sz w:val="24"/>
        </w:rPr>
        <w:sectPr w:rsidR="00AA6D37">
          <w:pgSz w:w="12240" w:h="15840"/>
          <w:pgMar w:top="1360" w:right="1320" w:bottom="280" w:left="1320" w:header="720" w:footer="720" w:gutter="0"/>
          <w:cols w:space="720"/>
        </w:sectPr>
      </w:pPr>
    </w:p>
    <w:p w:rsidR="00AA6D37" w:rsidRDefault="00AA6D37">
      <w:pPr>
        <w:pStyle w:val="BodyText"/>
        <w:spacing w:before="2"/>
        <w:rPr>
          <w:sz w:val="19"/>
        </w:rPr>
      </w:pPr>
    </w:p>
    <w:p w:rsidR="00AA6D37" w:rsidRPr="002821E5" w:rsidRDefault="00FC06D1">
      <w:pPr>
        <w:pStyle w:val="BodyText"/>
        <w:spacing w:before="90"/>
        <w:ind w:left="120"/>
        <w:jc w:val="both"/>
        <w:rPr>
          <w:b/>
        </w:rPr>
      </w:pPr>
      <w:r w:rsidRPr="002821E5">
        <w:rPr>
          <w:b/>
        </w:rPr>
        <w:t>EmployNV (State MIS system):</w:t>
      </w:r>
    </w:p>
    <w:p w:rsidR="00AA6D37" w:rsidRDefault="00AA6D37">
      <w:pPr>
        <w:pStyle w:val="BodyText"/>
        <w:spacing w:before="9"/>
        <w:rPr>
          <w:sz w:val="27"/>
        </w:rPr>
      </w:pPr>
    </w:p>
    <w:p w:rsidR="00AA6D37" w:rsidRDefault="00FC06D1">
      <w:pPr>
        <w:pStyle w:val="BodyText"/>
        <w:spacing w:line="259" w:lineRule="auto"/>
        <w:ind w:left="120" w:right="117"/>
        <w:jc w:val="both"/>
      </w:pPr>
      <w:r>
        <w:t>EmployNV</w:t>
      </w:r>
      <w:r w:rsidR="008B34AE">
        <w:t>,</w:t>
      </w:r>
      <w:r>
        <w:rPr>
          <w:spacing w:val="-15"/>
        </w:rPr>
        <w:t xml:space="preserve"> </w:t>
      </w:r>
      <w:r>
        <w:t>a</w:t>
      </w:r>
      <w:r>
        <w:rPr>
          <w:spacing w:val="-18"/>
        </w:rPr>
        <w:t xml:space="preserve"> </w:t>
      </w:r>
      <w:r w:rsidR="002821E5" w:rsidRPr="00DE6B66">
        <w:t>state-of-the-art</w:t>
      </w:r>
      <w:r w:rsidRPr="00DE6B66">
        <w:t xml:space="preserve"> management</w:t>
      </w:r>
      <w:r>
        <w:rPr>
          <w:spacing w:val="-16"/>
        </w:rPr>
        <w:t xml:space="preserve"> </w:t>
      </w:r>
      <w:r>
        <w:t>information</w:t>
      </w:r>
      <w:r>
        <w:rPr>
          <w:spacing w:val="-17"/>
        </w:rPr>
        <w:t xml:space="preserve"> </w:t>
      </w:r>
      <w:r>
        <w:t>system</w:t>
      </w:r>
      <w:r>
        <w:rPr>
          <w:spacing w:val="-14"/>
        </w:rPr>
        <w:t xml:space="preserve"> </w:t>
      </w:r>
      <w:r>
        <w:t>for</w:t>
      </w:r>
      <w:r>
        <w:rPr>
          <w:spacing w:val="-18"/>
        </w:rPr>
        <w:t xml:space="preserve"> </w:t>
      </w:r>
      <w:r>
        <w:t>workforce</w:t>
      </w:r>
      <w:r>
        <w:rPr>
          <w:spacing w:val="-15"/>
        </w:rPr>
        <w:t xml:space="preserve"> </w:t>
      </w:r>
      <w:r>
        <w:t>organizations</w:t>
      </w:r>
      <w:r w:rsidR="00346EEF">
        <w:t>,</w:t>
      </w:r>
      <w:r>
        <w:rPr>
          <w:spacing w:val="-17"/>
        </w:rPr>
        <w:t xml:space="preserve"> </w:t>
      </w:r>
      <w:r>
        <w:t>has</w:t>
      </w:r>
      <w:r>
        <w:rPr>
          <w:spacing w:val="-17"/>
        </w:rPr>
        <w:t xml:space="preserve"> </w:t>
      </w:r>
      <w:r>
        <w:t>been fully</w:t>
      </w:r>
      <w:r>
        <w:rPr>
          <w:spacing w:val="-14"/>
        </w:rPr>
        <w:t xml:space="preserve"> </w:t>
      </w:r>
      <w:r>
        <w:t>implemented.</w:t>
      </w:r>
      <w:r>
        <w:rPr>
          <w:spacing w:val="45"/>
        </w:rPr>
        <w:t xml:space="preserve"> </w:t>
      </w:r>
      <w:r>
        <w:t>It</w:t>
      </w:r>
      <w:r>
        <w:rPr>
          <w:spacing w:val="-9"/>
        </w:rPr>
        <w:t xml:space="preserve"> </w:t>
      </w:r>
      <w:r>
        <w:t>has</w:t>
      </w:r>
      <w:r>
        <w:rPr>
          <w:spacing w:val="-7"/>
        </w:rPr>
        <w:t xml:space="preserve"> </w:t>
      </w:r>
      <w:r>
        <w:t>significantly</w:t>
      </w:r>
      <w:r>
        <w:rPr>
          <w:spacing w:val="-14"/>
        </w:rPr>
        <w:t xml:space="preserve"> </w:t>
      </w:r>
      <w:r w:rsidR="008B34AE">
        <w:t>expanded</w:t>
      </w:r>
      <w:r>
        <w:rPr>
          <w:spacing w:val="-12"/>
        </w:rPr>
        <w:t xml:space="preserve"> </w:t>
      </w:r>
      <w:r>
        <w:t>the</w:t>
      </w:r>
      <w:r>
        <w:rPr>
          <w:spacing w:val="-11"/>
        </w:rPr>
        <w:t xml:space="preserve"> </w:t>
      </w:r>
      <w:r>
        <w:t>reporting</w:t>
      </w:r>
      <w:r>
        <w:rPr>
          <w:spacing w:val="-12"/>
        </w:rPr>
        <w:t xml:space="preserve"> </w:t>
      </w:r>
      <w:r>
        <w:t>capabilities</w:t>
      </w:r>
      <w:r>
        <w:rPr>
          <w:spacing w:val="-9"/>
        </w:rPr>
        <w:t xml:space="preserve"> </w:t>
      </w:r>
      <w:r>
        <w:t>of</w:t>
      </w:r>
      <w:r>
        <w:rPr>
          <w:spacing w:val="-10"/>
        </w:rPr>
        <w:t xml:space="preserve"> </w:t>
      </w:r>
      <w:r>
        <w:t>WIOA</w:t>
      </w:r>
      <w:r>
        <w:rPr>
          <w:spacing w:val="-10"/>
        </w:rPr>
        <w:t xml:space="preserve"> </w:t>
      </w:r>
      <w:r>
        <w:t>partners</w:t>
      </w:r>
      <w:r w:rsidR="008B34AE">
        <w:t>.  T</w:t>
      </w:r>
      <w:r w:rsidRPr="00500041">
        <w:rPr>
          <w:spacing w:val="-4"/>
        </w:rPr>
        <w:t>he system provides additional service delivery capabilities and self-service improvements.</w:t>
      </w:r>
      <w:r>
        <w:t xml:space="preserve"> EmployNV captures WIOA Participant Individual Record Layout (PIRL) data at the time of registration and automatically updates through the progression from Reportable Individuals to actual participants in Wagner Peyser (WP) and or WIOA. Additionally, EmployNV has business rules that provide assurance that the common exit methodology required by the Department of Labor</w:t>
      </w:r>
      <w:r>
        <w:rPr>
          <w:spacing w:val="-13"/>
        </w:rPr>
        <w:t xml:space="preserve"> </w:t>
      </w:r>
      <w:r>
        <w:t>is</w:t>
      </w:r>
      <w:r>
        <w:rPr>
          <w:spacing w:val="-12"/>
        </w:rPr>
        <w:t xml:space="preserve"> </w:t>
      </w:r>
      <w:r>
        <w:t>utilized.</w:t>
      </w:r>
      <w:r>
        <w:rPr>
          <w:spacing w:val="26"/>
        </w:rPr>
        <w:t xml:space="preserve"> </w:t>
      </w:r>
      <w:r>
        <w:t>This</w:t>
      </w:r>
      <w:r>
        <w:rPr>
          <w:spacing w:val="-12"/>
        </w:rPr>
        <w:t xml:space="preserve"> </w:t>
      </w:r>
      <w:r>
        <w:t>affects</w:t>
      </w:r>
      <w:r>
        <w:rPr>
          <w:spacing w:val="-12"/>
        </w:rPr>
        <w:t xml:space="preserve"> </w:t>
      </w:r>
      <w:r>
        <w:t>all</w:t>
      </w:r>
      <w:r>
        <w:rPr>
          <w:spacing w:val="-12"/>
        </w:rPr>
        <w:t xml:space="preserve"> </w:t>
      </w:r>
      <w:r>
        <w:t>enrolled</w:t>
      </w:r>
      <w:r>
        <w:rPr>
          <w:spacing w:val="-12"/>
        </w:rPr>
        <w:t xml:space="preserve"> </w:t>
      </w:r>
      <w:r>
        <w:t>participants</w:t>
      </w:r>
      <w:r>
        <w:rPr>
          <w:spacing w:val="-12"/>
        </w:rPr>
        <w:t xml:space="preserve"> </w:t>
      </w:r>
      <w:r>
        <w:t>who</w:t>
      </w:r>
      <w:r>
        <w:rPr>
          <w:spacing w:val="-12"/>
        </w:rPr>
        <w:t xml:space="preserve"> </w:t>
      </w:r>
      <w:r>
        <w:t>have</w:t>
      </w:r>
      <w:r>
        <w:rPr>
          <w:spacing w:val="-13"/>
        </w:rPr>
        <w:t xml:space="preserve"> </w:t>
      </w:r>
      <w:r>
        <w:t>not</w:t>
      </w:r>
      <w:r>
        <w:rPr>
          <w:spacing w:val="-9"/>
        </w:rPr>
        <w:t xml:space="preserve"> </w:t>
      </w:r>
      <w:r>
        <w:t>received</w:t>
      </w:r>
      <w:r>
        <w:rPr>
          <w:spacing w:val="-12"/>
        </w:rPr>
        <w:t xml:space="preserve"> </w:t>
      </w:r>
      <w:r>
        <w:t>a</w:t>
      </w:r>
      <w:r>
        <w:rPr>
          <w:spacing w:val="-13"/>
        </w:rPr>
        <w:t xml:space="preserve"> </w:t>
      </w:r>
      <w:r>
        <w:t>DOL</w:t>
      </w:r>
      <w:r>
        <w:rPr>
          <w:spacing w:val="-12"/>
        </w:rPr>
        <w:t xml:space="preserve"> </w:t>
      </w:r>
      <w:r>
        <w:t>administered program service for at least 90 days, when no future services are</w:t>
      </w:r>
      <w:r>
        <w:rPr>
          <w:spacing w:val="-6"/>
        </w:rPr>
        <w:t xml:space="preserve"> </w:t>
      </w:r>
      <w:r>
        <w:t>planned</w:t>
      </w:r>
      <w:r w:rsidR="00500041">
        <w:t>.</w:t>
      </w:r>
    </w:p>
    <w:p w:rsidR="00AA6D37" w:rsidRDefault="00AA6D37">
      <w:pPr>
        <w:pStyle w:val="BodyText"/>
        <w:spacing w:before="8"/>
        <w:rPr>
          <w:sz w:val="25"/>
        </w:rPr>
      </w:pPr>
    </w:p>
    <w:p w:rsidR="00AA6D37" w:rsidRPr="002821E5" w:rsidRDefault="00FC06D1">
      <w:pPr>
        <w:pStyle w:val="BodyText"/>
        <w:spacing w:before="1" w:line="259" w:lineRule="auto"/>
        <w:ind w:left="120" w:right="119"/>
        <w:jc w:val="both"/>
        <w:rPr>
          <w:b/>
        </w:rPr>
      </w:pPr>
      <w:r w:rsidRPr="002821E5">
        <w:rPr>
          <w:b/>
        </w:rPr>
        <w:t>Nevada JobConnect: Employment Security Division a proud partner of the American Job</w:t>
      </w:r>
      <w:r w:rsidRPr="002821E5">
        <w:rPr>
          <w:b/>
          <w:spacing w:val="-32"/>
        </w:rPr>
        <w:t xml:space="preserve"> </w:t>
      </w:r>
      <w:r w:rsidRPr="002821E5">
        <w:rPr>
          <w:b/>
        </w:rPr>
        <w:t>Centers of</w:t>
      </w:r>
      <w:r w:rsidRPr="002821E5">
        <w:rPr>
          <w:b/>
          <w:spacing w:val="-2"/>
        </w:rPr>
        <w:t xml:space="preserve"> </w:t>
      </w:r>
      <w:r w:rsidRPr="002821E5">
        <w:rPr>
          <w:b/>
        </w:rPr>
        <w:t>Nevada</w:t>
      </w:r>
      <w:r w:rsidR="002821E5" w:rsidRPr="002821E5">
        <w:rPr>
          <w:b/>
        </w:rPr>
        <w:t>.</w:t>
      </w:r>
    </w:p>
    <w:p w:rsidR="00AA6D37" w:rsidRDefault="00AA6D37">
      <w:pPr>
        <w:pStyle w:val="BodyText"/>
        <w:spacing w:before="9"/>
        <w:rPr>
          <w:sz w:val="25"/>
        </w:rPr>
      </w:pPr>
    </w:p>
    <w:p w:rsidR="00AA6D37" w:rsidRDefault="00FC06D1">
      <w:pPr>
        <w:pStyle w:val="BodyText"/>
        <w:spacing w:line="259" w:lineRule="auto"/>
        <w:ind w:left="120" w:right="118"/>
        <w:jc w:val="both"/>
      </w:pPr>
      <w:r>
        <w:t>The</w:t>
      </w:r>
      <w:r>
        <w:rPr>
          <w:spacing w:val="-6"/>
        </w:rPr>
        <w:t xml:space="preserve"> </w:t>
      </w:r>
      <w:r>
        <w:t>Employment</w:t>
      </w:r>
      <w:r>
        <w:rPr>
          <w:spacing w:val="-4"/>
        </w:rPr>
        <w:t xml:space="preserve"> </w:t>
      </w:r>
      <w:r>
        <w:t>Security</w:t>
      </w:r>
      <w:r>
        <w:rPr>
          <w:spacing w:val="-7"/>
        </w:rPr>
        <w:t xml:space="preserve"> </w:t>
      </w:r>
      <w:r>
        <w:t>Division</w:t>
      </w:r>
      <w:r>
        <w:rPr>
          <w:spacing w:val="-5"/>
        </w:rPr>
        <w:t xml:space="preserve"> </w:t>
      </w:r>
      <w:r>
        <w:t>(ESD)</w:t>
      </w:r>
      <w:r>
        <w:rPr>
          <w:spacing w:val="-6"/>
        </w:rPr>
        <w:t xml:space="preserve"> </w:t>
      </w:r>
      <w:r>
        <w:t>is</w:t>
      </w:r>
      <w:r>
        <w:rPr>
          <w:spacing w:val="-5"/>
        </w:rPr>
        <w:t xml:space="preserve"> </w:t>
      </w:r>
      <w:r>
        <w:t>organizationally</w:t>
      </w:r>
      <w:r>
        <w:rPr>
          <w:spacing w:val="-9"/>
        </w:rPr>
        <w:t xml:space="preserve"> </w:t>
      </w:r>
      <w:r>
        <w:t>a</w:t>
      </w:r>
      <w:r>
        <w:rPr>
          <w:spacing w:val="-6"/>
        </w:rPr>
        <w:t xml:space="preserve"> </w:t>
      </w:r>
      <w:r>
        <w:t>part</w:t>
      </w:r>
      <w:r>
        <w:rPr>
          <w:spacing w:val="-4"/>
        </w:rPr>
        <w:t xml:space="preserve"> </w:t>
      </w:r>
      <w:r>
        <w:t>of</w:t>
      </w:r>
      <w:r>
        <w:rPr>
          <w:spacing w:val="-6"/>
        </w:rPr>
        <w:t xml:space="preserve"> </w:t>
      </w:r>
      <w:r>
        <w:t>the</w:t>
      </w:r>
      <w:r>
        <w:rPr>
          <w:spacing w:val="-3"/>
        </w:rPr>
        <w:t xml:space="preserve"> </w:t>
      </w:r>
      <w:r>
        <w:t>Nevada</w:t>
      </w:r>
      <w:r>
        <w:rPr>
          <w:spacing w:val="-3"/>
        </w:rPr>
        <w:t xml:space="preserve"> </w:t>
      </w:r>
      <w:r>
        <w:t>Department</w:t>
      </w:r>
      <w:r>
        <w:rPr>
          <w:spacing w:val="-4"/>
        </w:rPr>
        <w:t xml:space="preserve"> </w:t>
      </w:r>
      <w:r>
        <w:t>of Employment, Training, and Rehabilitation (DETR). The Nevada JobConnect offices are the employment services delivery system of ESD. Nevada JobConnect has nine (9) offices strategically located throughout the metropolitan and rural areas of Nevada, all of which provide a full range of employment services that meet the needs of the residents and businesses in the community in which they are located. In addition, ESD also operates day labor offices in Reno and Las Vegas and a JobConnect Busi</w:t>
      </w:r>
      <w:r w:rsidR="008B34AE">
        <w:t>ness Services Office in both Reno</w:t>
      </w:r>
      <w:r>
        <w:t xml:space="preserve"> and Las Vegas. JobConnect is also a seate</w:t>
      </w:r>
      <w:r w:rsidR="00EE5581">
        <w:t>d partner in the comprehensive O</w:t>
      </w:r>
      <w:r>
        <w:t>ne</w:t>
      </w:r>
      <w:r w:rsidR="00EE5581">
        <w:t>-S</w:t>
      </w:r>
      <w:r>
        <w:t>tops in Reno and Las</w:t>
      </w:r>
      <w:r>
        <w:rPr>
          <w:spacing w:val="-12"/>
        </w:rPr>
        <w:t xml:space="preserve"> </w:t>
      </w:r>
      <w:r>
        <w:t>Vegas</w:t>
      </w:r>
      <w:r w:rsidR="002821E5">
        <w:t>.</w:t>
      </w:r>
    </w:p>
    <w:p w:rsidR="00AA6D37" w:rsidRDefault="00AA6D37">
      <w:pPr>
        <w:pStyle w:val="BodyText"/>
        <w:spacing w:before="8"/>
        <w:rPr>
          <w:sz w:val="25"/>
        </w:rPr>
      </w:pPr>
    </w:p>
    <w:p w:rsidR="00AA6D37" w:rsidRDefault="00FC06D1">
      <w:pPr>
        <w:pStyle w:val="BodyText"/>
        <w:spacing w:before="1" w:line="259" w:lineRule="auto"/>
        <w:ind w:left="120" w:right="118"/>
        <w:jc w:val="both"/>
      </w:pPr>
      <w:r>
        <w:t>Nevada’s</w:t>
      </w:r>
      <w:r>
        <w:rPr>
          <w:spacing w:val="-8"/>
        </w:rPr>
        <w:t xml:space="preserve"> </w:t>
      </w:r>
      <w:r>
        <w:t>economy</w:t>
      </w:r>
      <w:r w:rsidR="00CE28F9">
        <w:t>,</w:t>
      </w:r>
      <w:r>
        <w:rPr>
          <w:spacing w:val="-13"/>
        </w:rPr>
        <w:t xml:space="preserve"> </w:t>
      </w:r>
      <w:r>
        <w:t>like</w:t>
      </w:r>
      <w:r>
        <w:rPr>
          <w:spacing w:val="-5"/>
        </w:rPr>
        <w:t xml:space="preserve"> </w:t>
      </w:r>
      <w:r>
        <w:t>most</w:t>
      </w:r>
      <w:r>
        <w:rPr>
          <w:spacing w:val="-8"/>
        </w:rPr>
        <w:t xml:space="preserve"> </w:t>
      </w:r>
      <w:r>
        <w:t>of</w:t>
      </w:r>
      <w:r>
        <w:rPr>
          <w:spacing w:val="-9"/>
        </w:rPr>
        <w:t xml:space="preserve"> </w:t>
      </w:r>
      <w:r>
        <w:t>the</w:t>
      </w:r>
      <w:r>
        <w:rPr>
          <w:spacing w:val="-10"/>
        </w:rPr>
        <w:t xml:space="preserve"> </w:t>
      </w:r>
      <w:r>
        <w:t>nation</w:t>
      </w:r>
      <w:r w:rsidR="00CE28F9">
        <w:t>,</w:t>
      </w:r>
      <w:r>
        <w:rPr>
          <w:spacing w:val="-8"/>
        </w:rPr>
        <w:t xml:space="preserve"> </w:t>
      </w:r>
      <w:r>
        <w:t>has</w:t>
      </w:r>
      <w:r>
        <w:rPr>
          <w:spacing w:val="-8"/>
        </w:rPr>
        <w:t xml:space="preserve"> </w:t>
      </w:r>
      <w:r>
        <w:t>seen</w:t>
      </w:r>
      <w:r>
        <w:rPr>
          <w:spacing w:val="-9"/>
        </w:rPr>
        <w:t xml:space="preserve"> </w:t>
      </w:r>
      <w:r>
        <w:t>steady</w:t>
      </w:r>
      <w:r>
        <w:rPr>
          <w:spacing w:val="-11"/>
        </w:rPr>
        <w:t xml:space="preserve"> </w:t>
      </w:r>
      <w:r>
        <w:t>growth</w:t>
      </w:r>
      <w:r>
        <w:rPr>
          <w:spacing w:val="-9"/>
        </w:rPr>
        <w:t xml:space="preserve"> </w:t>
      </w:r>
      <w:r>
        <w:t>in</w:t>
      </w:r>
      <w:r>
        <w:rPr>
          <w:spacing w:val="-9"/>
        </w:rPr>
        <w:t xml:space="preserve"> </w:t>
      </w:r>
      <w:r>
        <w:t>the</w:t>
      </w:r>
      <w:r>
        <w:rPr>
          <w:spacing w:val="-10"/>
        </w:rPr>
        <w:t xml:space="preserve"> </w:t>
      </w:r>
      <w:r>
        <w:t>past</w:t>
      </w:r>
      <w:r>
        <w:rPr>
          <w:spacing w:val="-8"/>
        </w:rPr>
        <w:t xml:space="preserve"> </w:t>
      </w:r>
      <w:r>
        <w:t>five</w:t>
      </w:r>
      <w:r>
        <w:rPr>
          <w:spacing w:val="-7"/>
        </w:rPr>
        <w:t xml:space="preserve"> </w:t>
      </w:r>
      <w:r>
        <w:t>years.</w:t>
      </w:r>
      <w:r>
        <w:rPr>
          <w:spacing w:val="42"/>
        </w:rPr>
        <w:t xml:space="preserve"> </w:t>
      </w:r>
      <w:r>
        <w:t>Nevada’s current</w:t>
      </w:r>
      <w:r>
        <w:rPr>
          <w:spacing w:val="-8"/>
        </w:rPr>
        <w:t xml:space="preserve"> </w:t>
      </w:r>
      <w:r>
        <w:t>unemployment</w:t>
      </w:r>
      <w:r>
        <w:rPr>
          <w:spacing w:val="-6"/>
        </w:rPr>
        <w:t xml:space="preserve"> </w:t>
      </w:r>
      <w:r>
        <w:t>rate</w:t>
      </w:r>
      <w:r>
        <w:rPr>
          <w:spacing w:val="-10"/>
        </w:rPr>
        <w:t xml:space="preserve"> </w:t>
      </w:r>
      <w:r>
        <w:t>is</w:t>
      </w:r>
      <w:r>
        <w:rPr>
          <w:spacing w:val="-8"/>
        </w:rPr>
        <w:t xml:space="preserve"> </w:t>
      </w:r>
      <w:r>
        <w:t>less</w:t>
      </w:r>
      <w:r>
        <w:rPr>
          <w:spacing w:val="-8"/>
        </w:rPr>
        <w:t xml:space="preserve"> </w:t>
      </w:r>
      <w:r>
        <w:t>than</w:t>
      </w:r>
      <w:r>
        <w:rPr>
          <w:spacing w:val="-9"/>
        </w:rPr>
        <w:t xml:space="preserve"> </w:t>
      </w:r>
      <w:r>
        <w:t>5%.</w:t>
      </w:r>
      <w:r>
        <w:rPr>
          <w:spacing w:val="42"/>
        </w:rPr>
        <w:t xml:space="preserve"> </w:t>
      </w:r>
      <w:r>
        <w:t>The</w:t>
      </w:r>
      <w:r>
        <w:rPr>
          <w:spacing w:val="-10"/>
        </w:rPr>
        <w:t xml:space="preserve"> </w:t>
      </w:r>
      <w:r>
        <w:t>housing</w:t>
      </w:r>
      <w:r>
        <w:rPr>
          <w:spacing w:val="-11"/>
        </w:rPr>
        <w:t xml:space="preserve"> </w:t>
      </w:r>
      <w:r>
        <w:t>market</w:t>
      </w:r>
      <w:r>
        <w:rPr>
          <w:spacing w:val="-8"/>
        </w:rPr>
        <w:t xml:space="preserve"> </w:t>
      </w:r>
      <w:r>
        <w:t>is</w:t>
      </w:r>
      <w:r>
        <w:rPr>
          <w:spacing w:val="-8"/>
        </w:rPr>
        <w:t xml:space="preserve"> </w:t>
      </w:r>
      <w:r>
        <w:t>once</w:t>
      </w:r>
      <w:r>
        <w:rPr>
          <w:spacing w:val="-7"/>
        </w:rPr>
        <w:t xml:space="preserve"> </w:t>
      </w:r>
      <w:r>
        <w:t>again</w:t>
      </w:r>
      <w:r>
        <w:rPr>
          <w:spacing w:val="-9"/>
        </w:rPr>
        <w:t xml:space="preserve"> </w:t>
      </w:r>
      <w:r>
        <w:t>strong</w:t>
      </w:r>
      <w:r>
        <w:rPr>
          <w:spacing w:val="-9"/>
        </w:rPr>
        <w:t xml:space="preserve"> </w:t>
      </w:r>
      <w:r>
        <w:t>and</w:t>
      </w:r>
      <w:r>
        <w:rPr>
          <w:spacing w:val="-9"/>
        </w:rPr>
        <w:t xml:space="preserve"> </w:t>
      </w:r>
      <w:r>
        <w:t>the</w:t>
      </w:r>
      <w:r>
        <w:rPr>
          <w:spacing w:val="-10"/>
        </w:rPr>
        <w:t xml:space="preserve"> </w:t>
      </w:r>
      <w:r>
        <w:t>labor market is under stress due to labor shortages, particularly in Northern Nevada and some areas of rural</w:t>
      </w:r>
      <w:r>
        <w:rPr>
          <w:spacing w:val="-1"/>
        </w:rPr>
        <w:t xml:space="preserve"> </w:t>
      </w:r>
      <w:r>
        <w:t>Nevada.</w:t>
      </w:r>
    </w:p>
    <w:p w:rsidR="00AA6D37" w:rsidRDefault="00AA6D37">
      <w:pPr>
        <w:pStyle w:val="BodyText"/>
        <w:spacing w:before="8"/>
        <w:rPr>
          <w:sz w:val="25"/>
        </w:rPr>
      </w:pPr>
    </w:p>
    <w:p w:rsidR="00AA6D37" w:rsidRDefault="00FC06D1">
      <w:pPr>
        <w:pStyle w:val="BodyText"/>
        <w:spacing w:line="259" w:lineRule="auto"/>
        <w:ind w:left="120" w:right="116"/>
        <w:jc w:val="both"/>
      </w:pPr>
      <w:r>
        <w:t xml:space="preserve">While the State has enjoyed a general economic recovery, there is still needed improvement in </w:t>
      </w:r>
      <w:r w:rsidR="008B34AE">
        <w:t>several areas, i</w:t>
      </w:r>
      <w:r>
        <w:t>ncluding the employment of youth, former offenders, certain minorities, those with disabilities, the underemployed, and individuals in poverty. JobConnect is continually</w:t>
      </w:r>
    </w:p>
    <w:p w:rsidR="00AA6D37" w:rsidRDefault="00AA6D37">
      <w:pPr>
        <w:spacing w:line="259" w:lineRule="auto"/>
        <w:jc w:val="both"/>
        <w:sectPr w:rsidR="00AA6D37" w:rsidSect="002821E5">
          <w:pgSz w:w="12240" w:h="15840"/>
          <w:pgMar w:top="1440" w:right="1320" w:bottom="280" w:left="1320" w:header="720" w:footer="720" w:gutter="0"/>
          <w:cols w:space="720"/>
          <w:docGrid w:linePitch="299"/>
        </w:sectPr>
      </w:pPr>
    </w:p>
    <w:p w:rsidR="00AA6D37" w:rsidRDefault="00FC06D1">
      <w:pPr>
        <w:pStyle w:val="BodyText"/>
        <w:spacing w:before="79" w:line="259" w:lineRule="auto"/>
        <w:ind w:left="120" w:right="116"/>
        <w:jc w:val="both"/>
      </w:pPr>
      <w:r>
        <w:lastRenderedPageBreak/>
        <w:t>reviewing its processes and services to refine its delivery of services to customers with barriers</w:t>
      </w:r>
      <w:r>
        <w:rPr>
          <w:spacing w:val="-26"/>
        </w:rPr>
        <w:t xml:space="preserve"> </w:t>
      </w:r>
      <w:r>
        <w:t xml:space="preserve">to employment. This past year JobConnect began a new program, Pathway 2 $15 which specifically targets those </w:t>
      </w:r>
      <w:r w:rsidRPr="00EE5581">
        <w:t>groups above plus the underemployed</w:t>
      </w:r>
      <w:r w:rsidR="00135098">
        <w:t>.</w:t>
      </w:r>
      <w:r>
        <w:rPr>
          <w:spacing w:val="36"/>
        </w:rPr>
        <w:t xml:space="preserve"> </w:t>
      </w:r>
      <w:r>
        <w:t>The</w:t>
      </w:r>
      <w:r>
        <w:rPr>
          <w:spacing w:val="-13"/>
        </w:rPr>
        <w:t xml:space="preserve"> </w:t>
      </w:r>
      <w:r>
        <w:t>Pathway</w:t>
      </w:r>
      <w:r>
        <w:rPr>
          <w:spacing w:val="-19"/>
        </w:rPr>
        <w:t xml:space="preserve"> </w:t>
      </w:r>
      <w:r>
        <w:t>2</w:t>
      </w:r>
      <w:r>
        <w:rPr>
          <w:spacing w:val="-12"/>
        </w:rPr>
        <w:t xml:space="preserve"> </w:t>
      </w:r>
      <w:r>
        <w:t>$15</w:t>
      </w:r>
      <w:r>
        <w:rPr>
          <w:spacing w:val="-12"/>
        </w:rPr>
        <w:t xml:space="preserve"> </w:t>
      </w:r>
      <w:r>
        <w:t>program</w:t>
      </w:r>
      <w:r>
        <w:rPr>
          <w:spacing w:val="-12"/>
        </w:rPr>
        <w:t xml:space="preserve"> </w:t>
      </w:r>
      <w:r>
        <w:t>also</w:t>
      </w:r>
      <w:r>
        <w:rPr>
          <w:spacing w:val="-12"/>
        </w:rPr>
        <w:t xml:space="preserve"> </w:t>
      </w:r>
      <w:r>
        <w:t>expands</w:t>
      </w:r>
      <w:r>
        <w:rPr>
          <w:spacing w:val="-12"/>
        </w:rPr>
        <w:t xml:space="preserve"> </w:t>
      </w:r>
      <w:r>
        <w:t>the</w:t>
      </w:r>
      <w:r>
        <w:rPr>
          <w:spacing w:val="-13"/>
        </w:rPr>
        <w:t xml:space="preserve"> </w:t>
      </w:r>
      <w:r>
        <w:t>eligibility</w:t>
      </w:r>
      <w:r>
        <w:rPr>
          <w:spacing w:val="-19"/>
        </w:rPr>
        <w:t xml:space="preserve"> </w:t>
      </w:r>
      <w:r>
        <w:t>of</w:t>
      </w:r>
      <w:r>
        <w:rPr>
          <w:spacing w:val="-13"/>
        </w:rPr>
        <w:t xml:space="preserve"> </w:t>
      </w:r>
      <w:r>
        <w:t>the</w:t>
      </w:r>
      <w:r>
        <w:rPr>
          <w:spacing w:val="-13"/>
        </w:rPr>
        <w:t xml:space="preserve"> </w:t>
      </w:r>
      <w:r>
        <w:t>Career</w:t>
      </w:r>
      <w:r>
        <w:rPr>
          <w:spacing w:val="-10"/>
        </w:rPr>
        <w:t xml:space="preserve"> </w:t>
      </w:r>
      <w:r>
        <w:t>Enhancement</w:t>
      </w:r>
      <w:r>
        <w:rPr>
          <w:spacing w:val="-12"/>
        </w:rPr>
        <w:t xml:space="preserve"> </w:t>
      </w:r>
      <w:r>
        <w:t>Program (CEP) to include those working part-time or low wage</w:t>
      </w:r>
      <w:r>
        <w:rPr>
          <w:spacing w:val="-10"/>
        </w:rPr>
        <w:t xml:space="preserve"> </w:t>
      </w:r>
      <w:r>
        <w:t>jobs.</w:t>
      </w:r>
    </w:p>
    <w:p w:rsidR="00AA6D37" w:rsidRDefault="00AA6D37">
      <w:pPr>
        <w:pStyle w:val="BodyText"/>
        <w:spacing w:before="10"/>
        <w:rPr>
          <w:sz w:val="25"/>
        </w:rPr>
      </w:pPr>
    </w:p>
    <w:p w:rsidR="00AA6D37" w:rsidRDefault="00FC06D1">
      <w:pPr>
        <w:pStyle w:val="BodyText"/>
        <w:spacing w:line="259" w:lineRule="auto"/>
        <w:ind w:left="119" w:right="117"/>
        <w:jc w:val="both"/>
      </w:pPr>
      <w:r>
        <w:t>The labor exchange network established by the Wagner-Peyser Act of 1933 continues to be the most</w:t>
      </w:r>
      <w:r>
        <w:rPr>
          <w:spacing w:val="-16"/>
        </w:rPr>
        <w:t xml:space="preserve"> </w:t>
      </w:r>
      <w:r>
        <w:t>efficient</w:t>
      </w:r>
      <w:r>
        <w:rPr>
          <w:spacing w:val="-16"/>
        </w:rPr>
        <w:t xml:space="preserve"> </w:t>
      </w:r>
      <w:r>
        <w:t>and</w:t>
      </w:r>
      <w:r>
        <w:rPr>
          <w:spacing w:val="-17"/>
        </w:rPr>
        <w:t xml:space="preserve"> </w:t>
      </w:r>
      <w:r>
        <w:t>cost-effective</w:t>
      </w:r>
      <w:r>
        <w:rPr>
          <w:spacing w:val="-18"/>
        </w:rPr>
        <w:t xml:space="preserve"> </w:t>
      </w:r>
      <w:r>
        <w:t>means</w:t>
      </w:r>
      <w:r>
        <w:rPr>
          <w:spacing w:val="-17"/>
        </w:rPr>
        <w:t xml:space="preserve"> </w:t>
      </w:r>
      <w:r>
        <w:t>to</w:t>
      </w:r>
      <w:r>
        <w:rPr>
          <w:spacing w:val="-17"/>
        </w:rPr>
        <w:t xml:space="preserve"> </w:t>
      </w:r>
      <w:r>
        <w:t>assist</w:t>
      </w:r>
      <w:r>
        <w:rPr>
          <w:spacing w:val="-16"/>
        </w:rPr>
        <w:t xml:space="preserve"> </w:t>
      </w:r>
      <w:r>
        <w:t>Nevadan’s</w:t>
      </w:r>
      <w:r>
        <w:rPr>
          <w:spacing w:val="-17"/>
        </w:rPr>
        <w:t xml:space="preserve"> </w:t>
      </w:r>
      <w:r>
        <w:t>return</w:t>
      </w:r>
      <w:r>
        <w:rPr>
          <w:spacing w:val="-17"/>
        </w:rPr>
        <w:t xml:space="preserve"> </w:t>
      </w:r>
      <w:r>
        <w:t>to</w:t>
      </w:r>
      <w:r>
        <w:rPr>
          <w:spacing w:val="-17"/>
        </w:rPr>
        <w:t xml:space="preserve"> </w:t>
      </w:r>
      <w:r>
        <w:t>work</w:t>
      </w:r>
      <w:r>
        <w:rPr>
          <w:spacing w:val="-17"/>
        </w:rPr>
        <w:t xml:space="preserve"> </w:t>
      </w:r>
      <w:r>
        <w:t>and</w:t>
      </w:r>
      <w:r>
        <w:rPr>
          <w:spacing w:val="-17"/>
        </w:rPr>
        <w:t xml:space="preserve"> </w:t>
      </w:r>
      <w:r>
        <w:t>to</w:t>
      </w:r>
      <w:r>
        <w:rPr>
          <w:spacing w:val="-17"/>
        </w:rPr>
        <w:t xml:space="preserve"> </w:t>
      </w:r>
      <w:r>
        <w:t>assist</w:t>
      </w:r>
      <w:r>
        <w:rPr>
          <w:spacing w:val="-16"/>
        </w:rPr>
        <w:t xml:space="preserve"> </w:t>
      </w:r>
      <w:r>
        <w:t>the</w:t>
      </w:r>
      <w:r>
        <w:rPr>
          <w:spacing w:val="-18"/>
        </w:rPr>
        <w:t xml:space="preserve"> </w:t>
      </w:r>
      <w:r>
        <w:t>business community meet its workforce</w:t>
      </w:r>
      <w:r>
        <w:rPr>
          <w:spacing w:val="-7"/>
        </w:rPr>
        <w:t xml:space="preserve"> </w:t>
      </w:r>
      <w:r>
        <w:t>needs.</w:t>
      </w:r>
    </w:p>
    <w:p w:rsidR="00AA6D37" w:rsidRDefault="00AA6D37">
      <w:pPr>
        <w:pStyle w:val="BodyText"/>
        <w:spacing w:before="9"/>
        <w:rPr>
          <w:sz w:val="25"/>
        </w:rPr>
      </w:pPr>
    </w:p>
    <w:p w:rsidR="00AA6D37" w:rsidRDefault="00FC06D1">
      <w:pPr>
        <w:pStyle w:val="BodyText"/>
        <w:spacing w:line="259" w:lineRule="auto"/>
        <w:ind w:left="119" w:right="115"/>
        <w:jc w:val="both"/>
      </w:pPr>
      <w:r>
        <w:t>The Wagner-Peyser funded labor exchange in each JobConnect office provides a comprehensive range of employment services for job seekers that include employment assessment, counseling, job readiness workshops, resume assistance, short-term skill training, and job referrals. A</w:t>
      </w:r>
      <w:r>
        <w:rPr>
          <w:spacing w:val="-31"/>
        </w:rPr>
        <w:t xml:space="preserve"> </w:t>
      </w:r>
      <w:r w:rsidR="0003108C">
        <w:rPr>
          <w:spacing w:val="-31"/>
        </w:rPr>
        <w:t xml:space="preserve"> </w:t>
      </w:r>
      <w:r>
        <w:t>number of JobConnect offices designated as affiliate One-Stop sites have the full-time presence of Title I WIOA services providers. Services available to</w:t>
      </w:r>
      <w:r w:rsidR="00346EEF">
        <w:t xml:space="preserve"> the business customers include</w:t>
      </w:r>
      <w:r>
        <w:t xml:space="preserve"> recruitment assistance,</w:t>
      </w:r>
      <w:r>
        <w:rPr>
          <w:spacing w:val="-5"/>
        </w:rPr>
        <w:t xml:space="preserve"> </w:t>
      </w:r>
      <w:r>
        <w:t>applicant</w:t>
      </w:r>
      <w:r>
        <w:rPr>
          <w:spacing w:val="-4"/>
        </w:rPr>
        <w:t xml:space="preserve"> </w:t>
      </w:r>
      <w:r>
        <w:t>screening</w:t>
      </w:r>
      <w:r>
        <w:rPr>
          <w:spacing w:val="-7"/>
        </w:rPr>
        <w:t xml:space="preserve"> </w:t>
      </w:r>
      <w:r>
        <w:t>services,</w:t>
      </w:r>
      <w:r>
        <w:rPr>
          <w:spacing w:val="-5"/>
        </w:rPr>
        <w:t xml:space="preserve"> </w:t>
      </w:r>
      <w:r>
        <w:t>labor</w:t>
      </w:r>
      <w:r>
        <w:rPr>
          <w:spacing w:val="-6"/>
        </w:rPr>
        <w:t xml:space="preserve"> </w:t>
      </w:r>
      <w:r>
        <w:t>market</w:t>
      </w:r>
      <w:r>
        <w:rPr>
          <w:spacing w:val="-4"/>
        </w:rPr>
        <w:t xml:space="preserve"> </w:t>
      </w:r>
      <w:r>
        <w:t>information,</w:t>
      </w:r>
      <w:r>
        <w:rPr>
          <w:spacing w:val="-5"/>
        </w:rPr>
        <w:t xml:space="preserve"> </w:t>
      </w:r>
      <w:r>
        <w:t>space</w:t>
      </w:r>
      <w:r>
        <w:rPr>
          <w:spacing w:val="-6"/>
        </w:rPr>
        <w:t xml:space="preserve"> </w:t>
      </w:r>
      <w:r>
        <w:t>for</w:t>
      </w:r>
      <w:r>
        <w:rPr>
          <w:spacing w:val="-6"/>
        </w:rPr>
        <w:t xml:space="preserve"> </w:t>
      </w:r>
      <w:r>
        <w:t>interviews</w:t>
      </w:r>
      <w:r>
        <w:rPr>
          <w:spacing w:val="-4"/>
        </w:rPr>
        <w:t xml:space="preserve"> </w:t>
      </w:r>
      <w:r>
        <w:t>and</w:t>
      </w:r>
      <w:r>
        <w:rPr>
          <w:spacing w:val="-5"/>
        </w:rPr>
        <w:t xml:space="preserve"> </w:t>
      </w:r>
      <w:r>
        <w:t>hiring events, and access to hiring</w:t>
      </w:r>
      <w:r>
        <w:rPr>
          <w:spacing w:val="-4"/>
        </w:rPr>
        <w:t xml:space="preserve"> </w:t>
      </w:r>
      <w:r>
        <w:t>incentives.</w:t>
      </w:r>
    </w:p>
    <w:p w:rsidR="00AA6D37" w:rsidRDefault="00AA6D37">
      <w:pPr>
        <w:pStyle w:val="BodyText"/>
        <w:spacing w:before="9"/>
        <w:rPr>
          <w:sz w:val="25"/>
        </w:rPr>
      </w:pPr>
    </w:p>
    <w:p w:rsidR="00AA6D37" w:rsidRDefault="00346EEF">
      <w:pPr>
        <w:pStyle w:val="BodyText"/>
        <w:spacing w:line="259" w:lineRule="auto"/>
        <w:ind w:left="120" w:right="119"/>
        <w:jc w:val="both"/>
      </w:pPr>
      <w:r>
        <w:t>All JobConnect o</w:t>
      </w:r>
      <w:r w:rsidR="00FC06D1">
        <w:t>ffices are equipped with state-of-the-art resource centers which provide customers the choice of performing a self-directed job search. If the customer prefers, each office has mediated one on one services available from experienced and knowledgeable JobConnect employment specialists.</w:t>
      </w:r>
    </w:p>
    <w:p w:rsidR="00AA6D37" w:rsidRDefault="00AA6D37">
      <w:pPr>
        <w:pStyle w:val="BodyText"/>
        <w:spacing w:before="8"/>
        <w:rPr>
          <w:sz w:val="25"/>
        </w:rPr>
      </w:pPr>
    </w:p>
    <w:p w:rsidR="00AA6D37" w:rsidRDefault="00FC06D1">
      <w:pPr>
        <w:pStyle w:val="BodyText"/>
        <w:spacing w:line="259" w:lineRule="auto"/>
        <w:ind w:left="120" w:right="118"/>
        <w:jc w:val="both"/>
      </w:pPr>
      <w:r>
        <w:t>In recent years</w:t>
      </w:r>
      <w:r w:rsidR="00346EEF">
        <w:t>,</w:t>
      </w:r>
      <w:r>
        <w:t xml:space="preserve"> the JobConnect offices have experienced an increased demand by job seekers for staff-assisted services. Trends indicate that job seekers, in greater numbers, prefer to meet one- on-one with the JobConnect employment staff. In the current labor market</w:t>
      </w:r>
      <w:r w:rsidR="00346EEF">
        <w:t>,</w:t>
      </w:r>
      <w:r>
        <w:t xml:space="preserve"> many businesses are preferring to list suppressed job orders rather than posting openings on commercial job boards. Businesses are realizing the cost saving benefits of receiving pre-screened qualified applicants versus the deluge of resumes and unqualified applicants inherent to job boards and Internet postings.</w:t>
      </w:r>
    </w:p>
    <w:p w:rsidR="00AA6D37" w:rsidRDefault="00AA6D37">
      <w:pPr>
        <w:pStyle w:val="BodyText"/>
        <w:rPr>
          <w:sz w:val="26"/>
        </w:rPr>
      </w:pPr>
    </w:p>
    <w:p w:rsidR="00AA6D37" w:rsidRDefault="00AA6D37">
      <w:pPr>
        <w:pStyle w:val="BodyText"/>
        <w:spacing w:before="8"/>
        <w:rPr>
          <w:sz w:val="25"/>
        </w:rPr>
      </w:pPr>
    </w:p>
    <w:p w:rsidR="00AA6D37" w:rsidRPr="002C274C" w:rsidRDefault="00FC06D1">
      <w:pPr>
        <w:pStyle w:val="BodyText"/>
        <w:ind w:left="120"/>
        <w:jc w:val="both"/>
        <w:rPr>
          <w:b/>
        </w:rPr>
      </w:pPr>
      <w:r w:rsidRPr="002C274C">
        <w:rPr>
          <w:b/>
        </w:rPr>
        <w:t>Nevada JobConnect Job Seeker Services:</w:t>
      </w:r>
    </w:p>
    <w:p w:rsidR="00AA6D37" w:rsidRDefault="00AA6D37">
      <w:pPr>
        <w:pStyle w:val="BodyText"/>
        <w:spacing w:before="9"/>
        <w:rPr>
          <w:sz w:val="27"/>
        </w:rPr>
      </w:pPr>
    </w:p>
    <w:p w:rsidR="00AA6D37" w:rsidRDefault="00FC06D1">
      <w:pPr>
        <w:pStyle w:val="BodyText"/>
        <w:spacing w:line="259" w:lineRule="auto"/>
        <w:ind w:left="120" w:right="115"/>
        <w:jc w:val="both"/>
      </w:pPr>
      <w:r>
        <w:t>Each</w:t>
      </w:r>
      <w:r>
        <w:rPr>
          <w:spacing w:val="-17"/>
        </w:rPr>
        <w:t xml:space="preserve"> </w:t>
      </w:r>
      <w:r>
        <w:t>Nevada</w:t>
      </w:r>
      <w:r>
        <w:rPr>
          <w:spacing w:val="-18"/>
        </w:rPr>
        <w:t xml:space="preserve"> </w:t>
      </w:r>
      <w:r>
        <w:t>JobConnect</w:t>
      </w:r>
      <w:r>
        <w:rPr>
          <w:spacing w:val="-14"/>
        </w:rPr>
        <w:t xml:space="preserve"> </w:t>
      </w:r>
      <w:r>
        <w:t>office</w:t>
      </w:r>
      <w:r>
        <w:rPr>
          <w:spacing w:val="-18"/>
        </w:rPr>
        <w:t xml:space="preserve"> </w:t>
      </w:r>
      <w:r>
        <w:t>provides</w:t>
      </w:r>
      <w:r>
        <w:rPr>
          <w:spacing w:val="-17"/>
        </w:rPr>
        <w:t xml:space="preserve"> </w:t>
      </w:r>
      <w:r>
        <w:t>a</w:t>
      </w:r>
      <w:r>
        <w:rPr>
          <w:spacing w:val="-15"/>
        </w:rPr>
        <w:t xml:space="preserve"> </w:t>
      </w:r>
      <w:r>
        <w:t>full</w:t>
      </w:r>
      <w:r>
        <w:rPr>
          <w:spacing w:val="-16"/>
        </w:rPr>
        <w:t xml:space="preserve"> </w:t>
      </w:r>
      <w:r>
        <w:t>range</w:t>
      </w:r>
      <w:r>
        <w:rPr>
          <w:spacing w:val="-15"/>
        </w:rPr>
        <w:t xml:space="preserve"> </w:t>
      </w:r>
      <w:r>
        <w:t>of</w:t>
      </w:r>
      <w:r>
        <w:rPr>
          <w:spacing w:val="-18"/>
        </w:rPr>
        <w:t xml:space="preserve"> </w:t>
      </w:r>
      <w:r>
        <w:t>reemployment</w:t>
      </w:r>
      <w:r>
        <w:rPr>
          <w:spacing w:val="-16"/>
        </w:rPr>
        <w:t xml:space="preserve"> </w:t>
      </w:r>
      <w:r>
        <w:t>services</w:t>
      </w:r>
      <w:r>
        <w:rPr>
          <w:spacing w:val="-17"/>
        </w:rPr>
        <w:t xml:space="preserve"> </w:t>
      </w:r>
      <w:r>
        <w:t>including</w:t>
      </w:r>
      <w:r>
        <w:rPr>
          <w:spacing w:val="-19"/>
        </w:rPr>
        <w:t xml:space="preserve"> </w:t>
      </w:r>
      <w:r>
        <w:t>Wagner- Peyser Labor Exchange (ES), State funded Career Enhancement Program (CEP), Work Opportunity</w:t>
      </w:r>
      <w:r>
        <w:rPr>
          <w:spacing w:val="-17"/>
        </w:rPr>
        <w:t xml:space="preserve"> </w:t>
      </w:r>
      <w:r>
        <w:t>Tax</w:t>
      </w:r>
      <w:r>
        <w:rPr>
          <w:spacing w:val="-10"/>
        </w:rPr>
        <w:t xml:space="preserve"> </w:t>
      </w:r>
      <w:r>
        <w:t>Credit</w:t>
      </w:r>
      <w:r>
        <w:rPr>
          <w:spacing w:val="-12"/>
        </w:rPr>
        <w:t xml:space="preserve"> </w:t>
      </w:r>
      <w:r>
        <w:t>(WOTC),</w:t>
      </w:r>
      <w:r>
        <w:rPr>
          <w:spacing w:val="-12"/>
        </w:rPr>
        <w:t xml:space="preserve"> </w:t>
      </w:r>
      <w:r>
        <w:t>Rapid</w:t>
      </w:r>
      <w:r>
        <w:rPr>
          <w:spacing w:val="-12"/>
        </w:rPr>
        <w:t xml:space="preserve"> </w:t>
      </w:r>
      <w:r>
        <w:t>Response,</w:t>
      </w:r>
      <w:r>
        <w:rPr>
          <w:spacing w:val="-12"/>
        </w:rPr>
        <w:t xml:space="preserve"> </w:t>
      </w:r>
      <w:r>
        <w:t>and</w:t>
      </w:r>
      <w:r>
        <w:rPr>
          <w:spacing w:val="-12"/>
        </w:rPr>
        <w:t xml:space="preserve"> </w:t>
      </w:r>
      <w:r>
        <w:t>Trade</w:t>
      </w:r>
      <w:r>
        <w:rPr>
          <w:spacing w:val="-13"/>
        </w:rPr>
        <w:t xml:space="preserve"> </w:t>
      </w:r>
      <w:r>
        <w:t>Adjustment</w:t>
      </w:r>
      <w:r>
        <w:rPr>
          <w:spacing w:val="-9"/>
        </w:rPr>
        <w:t xml:space="preserve"> </w:t>
      </w:r>
      <w:r>
        <w:t>Act</w:t>
      </w:r>
      <w:r>
        <w:rPr>
          <w:spacing w:val="-12"/>
        </w:rPr>
        <w:t xml:space="preserve"> </w:t>
      </w:r>
      <w:r>
        <w:t>(TAA).</w:t>
      </w:r>
      <w:r>
        <w:rPr>
          <w:spacing w:val="40"/>
        </w:rPr>
        <w:t xml:space="preserve"> </w:t>
      </w:r>
      <w:r>
        <w:t>In</w:t>
      </w:r>
      <w:r>
        <w:rPr>
          <w:spacing w:val="-12"/>
        </w:rPr>
        <w:t xml:space="preserve"> </w:t>
      </w:r>
      <w:r>
        <w:t>addition to its ESD funded program</w:t>
      </w:r>
      <w:r w:rsidR="00346EEF">
        <w:t>,</w:t>
      </w:r>
      <w:r>
        <w:t xml:space="preserve"> it also has services available from the Bureau of Vocational Rehabilitation. Offices which are designated One</w:t>
      </w:r>
      <w:r w:rsidR="00887C9F">
        <w:t>-</w:t>
      </w:r>
      <w:r>
        <w:t>Stop Affiliate sites have WIOA Title I</w:t>
      </w:r>
      <w:r>
        <w:rPr>
          <w:spacing w:val="-34"/>
        </w:rPr>
        <w:t xml:space="preserve"> </w:t>
      </w:r>
      <w:r>
        <w:t>services available from a co-located WIOA service providers or have a convenient linkage to Title I services. The two most robust employment programs with the greatest demand for services in the JobConnect offices are the Labor Exchange (ES) and the Career Enhancement Program</w:t>
      </w:r>
      <w:r>
        <w:rPr>
          <w:spacing w:val="-19"/>
        </w:rPr>
        <w:t xml:space="preserve"> </w:t>
      </w:r>
      <w:r>
        <w:t>(CEP)</w:t>
      </w:r>
      <w:r w:rsidR="008140FA">
        <w:t>.</w:t>
      </w:r>
    </w:p>
    <w:p w:rsidR="00AA6D37" w:rsidRDefault="00AA6D37">
      <w:pPr>
        <w:spacing w:line="259" w:lineRule="auto"/>
        <w:jc w:val="both"/>
        <w:sectPr w:rsidR="00AA6D37">
          <w:pgSz w:w="12240" w:h="15840"/>
          <w:pgMar w:top="1360" w:right="1320" w:bottom="280" w:left="1320" w:header="720" w:footer="720" w:gutter="0"/>
          <w:cols w:space="720"/>
        </w:sectPr>
      </w:pPr>
    </w:p>
    <w:p w:rsidR="00AA6D37" w:rsidRPr="002821E5" w:rsidRDefault="00FC06D1">
      <w:pPr>
        <w:pStyle w:val="BodyText"/>
        <w:spacing w:before="79"/>
        <w:ind w:left="120"/>
        <w:jc w:val="both"/>
        <w:rPr>
          <w:b/>
        </w:rPr>
      </w:pPr>
      <w:r w:rsidRPr="002821E5">
        <w:rPr>
          <w:b/>
        </w:rPr>
        <w:lastRenderedPageBreak/>
        <w:t>Labor Exchange/Employment Services:</w:t>
      </w:r>
    </w:p>
    <w:p w:rsidR="00AA6D37" w:rsidRDefault="00AA6D37">
      <w:pPr>
        <w:pStyle w:val="BodyText"/>
        <w:spacing w:before="8"/>
        <w:rPr>
          <w:sz w:val="27"/>
        </w:rPr>
      </w:pPr>
    </w:p>
    <w:p w:rsidR="00AA6D37" w:rsidRDefault="00FC06D1">
      <w:pPr>
        <w:pStyle w:val="BodyText"/>
        <w:spacing w:before="1" w:line="259" w:lineRule="auto"/>
        <w:ind w:left="120" w:right="117"/>
        <w:jc w:val="both"/>
      </w:pPr>
      <w:r>
        <w:t>Labor Exchange or Employment Service is the most robust reemployment program in Nevada.</w:t>
      </w:r>
      <w:r>
        <w:rPr>
          <w:spacing w:val="33"/>
        </w:rPr>
        <w:t xml:space="preserve"> </w:t>
      </w:r>
      <w:r>
        <w:t>It is</w:t>
      </w:r>
      <w:r>
        <w:rPr>
          <w:spacing w:val="-6"/>
        </w:rPr>
        <w:t xml:space="preserve"> </w:t>
      </w:r>
      <w:r>
        <w:t>the</w:t>
      </w:r>
      <w:r>
        <w:rPr>
          <w:spacing w:val="-7"/>
        </w:rPr>
        <w:t xml:space="preserve"> </w:t>
      </w:r>
      <w:r>
        <w:t>driver</w:t>
      </w:r>
      <w:r>
        <w:rPr>
          <w:spacing w:val="-7"/>
        </w:rPr>
        <w:t xml:space="preserve"> </w:t>
      </w:r>
      <w:r>
        <w:t>of</w:t>
      </w:r>
      <w:r>
        <w:rPr>
          <w:spacing w:val="-7"/>
        </w:rPr>
        <w:t xml:space="preserve"> </w:t>
      </w:r>
      <w:r>
        <w:t>73%</w:t>
      </w:r>
      <w:r>
        <w:rPr>
          <w:spacing w:val="-7"/>
        </w:rPr>
        <w:t xml:space="preserve"> </w:t>
      </w:r>
      <w:r>
        <w:t>of</w:t>
      </w:r>
      <w:r>
        <w:rPr>
          <w:spacing w:val="-7"/>
        </w:rPr>
        <w:t xml:space="preserve"> </w:t>
      </w:r>
      <w:r>
        <w:t>all</w:t>
      </w:r>
      <w:r>
        <w:rPr>
          <w:spacing w:val="-6"/>
        </w:rPr>
        <w:t xml:space="preserve"> </w:t>
      </w:r>
      <w:r>
        <w:t>the</w:t>
      </w:r>
      <w:r>
        <w:rPr>
          <w:spacing w:val="-7"/>
        </w:rPr>
        <w:t xml:space="preserve"> </w:t>
      </w:r>
      <w:r>
        <w:t>activity</w:t>
      </w:r>
      <w:r>
        <w:rPr>
          <w:spacing w:val="-13"/>
        </w:rPr>
        <w:t xml:space="preserve"> </w:t>
      </w:r>
      <w:r>
        <w:t>in</w:t>
      </w:r>
      <w:r>
        <w:rPr>
          <w:spacing w:val="-6"/>
        </w:rPr>
        <w:t xml:space="preserve"> </w:t>
      </w:r>
      <w:r>
        <w:t>the</w:t>
      </w:r>
      <w:r>
        <w:rPr>
          <w:spacing w:val="-7"/>
        </w:rPr>
        <w:t xml:space="preserve"> </w:t>
      </w:r>
      <w:r w:rsidR="00346EEF">
        <w:t>nine</w:t>
      </w:r>
      <w:r>
        <w:rPr>
          <w:spacing w:val="-6"/>
        </w:rPr>
        <w:t xml:space="preserve"> </w:t>
      </w:r>
      <w:r>
        <w:t>JobConnect</w:t>
      </w:r>
      <w:r>
        <w:rPr>
          <w:spacing w:val="-6"/>
        </w:rPr>
        <w:t xml:space="preserve"> </w:t>
      </w:r>
      <w:r>
        <w:t>offices.</w:t>
      </w:r>
      <w:r>
        <w:rPr>
          <w:spacing w:val="41"/>
        </w:rPr>
        <w:t xml:space="preserve"> </w:t>
      </w:r>
      <w:r>
        <w:t>The</w:t>
      </w:r>
      <w:r>
        <w:rPr>
          <w:spacing w:val="-7"/>
        </w:rPr>
        <w:t xml:space="preserve"> </w:t>
      </w:r>
      <w:r>
        <w:t>JobConnect</w:t>
      </w:r>
      <w:r>
        <w:rPr>
          <w:spacing w:val="-6"/>
        </w:rPr>
        <w:t xml:space="preserve"> </w:t>
      </w:r>
      <w:r>
        <w:t>brand</w:t>
      </w:r>
      <w:r>
        <w:rPr>
          <w:spacing w:val="-6"/>
        </w:rPr>
        <w:t xml:space="preserve"> </w:t>
      </w:r>
      <w:r>
        <w:t>to</w:t>
      </w:r>
      <w:r>
        <w:rPr>
          <w:spacing w:val="-6"/>
        </w:rPr>
        <w:t xml:space="preserve"> </w:t>
      </w:r>
      <w:r>
        <w:t>the public is synonymous with employment services. The metropolitan JobConnect offices in Las Vegas</w:t>
      </w:r>
      <w:r>
        <w:rPr>
          <w:spacing w:val="-7"/>
        </w:rPr>
        <w:t xml:space="preserve"> </w:t>
      </w:r>
      <w:r>
        <w:t>often</w:t>
      </w:r>
      <w:r>
        <w:rPr>
          <w:spacing w:val="-7"/>
        </w:rPr>
        <w:t xml:space="preserve"> </w:t>
      </w:r>
      <w:r>
        <w:t>have</w:t>
      </w:r>
      <w:r>
        <w:rPr>
          <w:spacing w:val="-8"/>
        </w:rPr>
        <w:t xml:space="preserve"> </w:t>
      </w:r>
      <w:r>
        <w:t>traffic</w:t>
      </w:r>
      <w:r>
        <w:rPr>
          <w:spacing w:val="-8"/>
        </w:rPr>
        <w:t xml:space="preserve"> </w:t>
      </w:r>
      <w:r>
        <w:t>in</w:t>
      </w:r>
      <w:r>
        <w:rPr>
          <w:spacing w:val="-7"/>
        </w:rPr>
        <w:t xml:space="preserve"> </w:t>
      </w:r>
      <w:r>
        <w:t>excess</w:t>
      </w:r>
      <w:r>
        <w:rPr>
          <w:spacing w:val="-7"/>
        </w:rPr>
        <w:t xml:space="preserve"> </w:t>
      </w:r>
      <w:r>
        <w:t>of</w:t>
      </w:r>
      <w:r>
        <w:rPr>
          <w:spacing w:val="-8"/>
        </w:rPr>
        <w:t xml:space="preserve"> </w:t>
      </w:r>
      <w:r>
        <w:t>1,000</w:t>
      </w:r>
      <w:r>
        <w:rPr>
          <w:spacing w:val="-10"/>
        </w:rPr>
        <w:t xml:space="preserve"> </w:t>
      </w:r>
      <w:r>
        <w:t>job</w:t>
      </w:r>
      <w:r>
        <w:rPr>
          <w:spacing w:val="-7"/>
        </w:rPr>
        <w:t xml:space="preserve"> </w:t>
      </w:r>
      <w:r>
        <w:t>seekers</w:t>
      </w:r>
      <w:r>
        <w:rPr>
          <w:spacing w:val="-7"/>
        </w:rPr>
        <w:t xml:space="preserve"> </w:t>
      </w:r>
      <w:r w:rsidR="00346EEF">
        <w:rPr>
          <w:spacing w:val="-7"/>
        </w:rPr>
        <w:t>per</w:t>
      </w:r>
      <w:r>
        <w:rPr>
          <w:spacing w:val="-8"/>
        </w:rPr>
        <w:t xml:space="preserve"> </w:t>
      </w:r>
      <w:r>
        <w:t>week.</w:t>
      </w:r>
      <w:r>
        <w:rPr>
          <w:spacing w:val="40"/>
        </w:rPr>
        <w:t xml:space="preserve"> </w:t>
      </w:r>
      <w:r>
        <w:t>As</w:t>
      </w:r>
      <w:r>
        <w:rPr>
          <w:spacing w:val="-7"/>
        </w:rPr>
        <w:t xml:space="preserve"> </w:t>
      </w:r>
      <w:r>
        <w:t>a</w:t>
      </w:r>
      <w:r>
        <w:rPr>
          <w:spacing w:val="-8"/>
        </w:rPr>
        <w:t xml:space="preserve"> </w:t>
      </w:r>
      <w:r>
        <w:t>result</w:t>
      </w:r>
      <w:r>
        <w:rPr>
          <w:spacing w:val="-9"/>
        </w:rPr>
        <w:t xml:space="preserve"> </w:t>
      </w:r>
      <w:r>
        <w:t>of</w:t>
      </w:r>
      <w:r>
        <w:rPr>
          <w:spacing w:val="-8"/>
        </w:rPr>
        <w:t xml:space="preserve"> </w:t>
      </w:r>
      <w:r>
        <w:t>this</w:t>
      </w:r>
      <w:r>
        <w:rPr>
          <w:spacing w:val="-7"/>
        </w:rPr>
        <w:t xml:space="preserve"> </w:t>
      </w:r>
      <w:r>
        <w:t>very</w:t>
      </w:r>
      <w:r>
        <w:rPr>
          <w:spacing w:val="-13"/>
        </w:rPr>
        <w:t xml:space="preserve"> </w:t>
      </w:r>
      <w:r>
        <w:t>high</w:t>
      </w:r>
      <w:r>
        <w:rPr>
          <w:spacing w:val="-7"/>
        </w:rPr>
        <w:t xml:space="preserve"> </w:t>
      </w:r>
      <w:r>
        <w:t>usage by job seekers, businesses put a high value on using JobConnect assisting with their small and large recruitments. This past fiscal year</w:t>
      </w:r>
      <w:r w:rsidR="00346EEF">
        <w:t>,</w:t>
      </w:r>
      <w:r>
        <w:t xml:space="preserve"> Nevada businesses listed 83,000 job openings with Nevada</w:t>
      </w:r>
      <w:r>
        <w:rPr>
          <w:spacing w:val="-2"/>
        </w:rPr>
        <w:t xml:space="preserve"> </w:t>
      </w:r>
      <w:r>
        <w:t>JobConnect.</w:t>
      </w:r>
    </w:p>
    <w:p w:rsidR="00AA6D37" w:rsidRDefault="00AA6D37">
      <w:pPr>
        <w:pStyle w:val="BodyText"/>
        <w:spacing w:before="9"/>
        <w:rPr>
          <w:sz w:val="25"/>
        </w:rPr>
      </w:pPr>
    </w:p>
    <w:p w:rsidR="00AA6D37" w:rsidRPr="002821E5" w:rsidRDefault="00FC06D1">
      <w:pPr>
        <w:pStyle w:val="BodyText"/>
        <w:ind w:left="120"/>
        <w:jc w:val="both"/>
        <w:rPr>
          <w:b/>
        </w:rPr>
      </w:pPr>
      <w:r w:rsidRPr="002821E5">
        <w:rPr>
          <w:b/>
        </w:rPr>
        <w:t>Career Enhancement Program:</w:t>
      </w:r>
    </w:p>
    <w:p w:rsidR="00AA6D37" w:rsidRDefault="00AA6D37">
      <w:pPr>
        <w:pStyle w:val="BodyText"/>
        <w:spacing w:before="8"/>
        <w:rPr>
          <w:sz w:val="27"/>
        </w:rPr>
      </w:pPr>
    </w:p>
    <w:p w:rsidR="00AA6D37" w:rsidRDefault="00FC06D1">
      <w:pPr>
        <w:pStyle w:val="BodyText"/>
        <w:spacing w:before="1" w:line="259" w:lineRule="auto"/>
        <w:ind w:left="120" w:right="117"/>
        <w:jc w:val="both"/>
      </w:pPr>
      <w:r>
        <w:t>The Nevada Career Enhancement Program (CEP) is an integral part of the menu of services that JobConnect</w:t>
      </w:r>
      <w:r>
        <w:rPr>
          <w:spacing w:val="-15"/>
        </w:rPr>
        <w:t xml:space="preserve"> </w:t>
      </w:r>
      <w:r>
        <w:t>makes</w:t>
      </w:r>
      <w:r>
        <w:rPr>
          <w:spacing w:val="-16"/>
        </w:rPr>
        <w:t xml:space="preserve"> </w:t>
      </w:r>
      <w:r>
        <w:t>available</w:t>
      </w:r>
      <w:r>
        <w:rPr>
          <w:spacing w:val="-17"/>
        </w:rPr>
        <w:t xml:space="preserve"> </w:t>
      </w:r>
      <w:r>
        <w:t>to</w:t>
      </w:r>
      <w:r>
        <w:rPr>
          <w:spacing w:val="-16"/>
        </w:rPr>
        <w:t xml:space="preserve"> </w:t>
      </w:r>
      <w:r>
        <w:t>businesses</w:t>
      </w:r>
      <w:r>
        <w:rPr>
          <w:spacing w:val="-16"/>
        </w:rPr>
        <w:t xml:space="preserve"> </w:t>
      </w:r>
      <w:r>
        <w:t>and</w:t>
      </w:r>
      <w:r>
        <w:rPr>
          <w:spacing w:val="-16"/>
        </w:rPr>
        <w:t xml:space="preserve"> </w:t>
      </w:r>
      <w:r>
        <w:t>job</w:t>
      </w:r>
      <w:r>
        <w:rPr>
          <w:spacing w:val="-13"/>
        </w:rPr>
        <w:t xml:space="preserve"> </w:t>
      </w:r>
      <w:r>
        <w:t>seekers.</w:t>
      </w:r>
      <w:r>
        <w:rPr>
          <w:spacing w:val="-13"/>
        </w:rPr>
        <w:t xml:space="preserve"> </w:t>
      </w:r>
      <w:r>
        <w:t>The</w:t>
      </w:r>
      <w:r>
        <w:rPr>
          <w:spacing w:val="-17"/>
        </w:rPr>
        <w:t xml:space="preserve"> </w:t>
      </w:r>
      <w:r>
        <w:t>intent</w:t>
      </w:r>
      <w:r>
        <w:rPr>
          <w:spacing w:val="-15"/>
        </w:rPr>
        <w:t xml:space="preserve"> </w:t>
      </w:r>
      <w:r>
        <w:t>of</w:t>
      </w:r>
      <w:r>
        <w:rPr>
          <w:spacing w:val="-17"/>
        </w:rPr>
        <w:t xml:space="preserve"> </w:t>
      </w:r>
      <w:r>
        <w:t>this</w:t>
      </w:r>
      <w:r>
        <w:rPr>
          <w:spacing w:val="-13"/>
        </w:rPr>
        <w:t xml:space="preserve"> </w:t>
      </w:r>
      <w:r>
        <w:t>program</w:t>
      </w:r>
      <w:r>
        <w:rPr>
          <w:spacing w:val="-15"/>
        </w:rPr>
        <w:t xml:space="preserve"> </w:t>
      </w:r>
      <w:r>
        <w:t>is</w:t>
      </w:r>
      <w:r>
        <w:rPr>
          <w:spacing w:val="-16"/>
        </w:rPr>
        <w:t xml:space="preserve"> </w:t>
      </w:r>
      <w:r>
        <w:t>to</w:t>
      </w:r>
      <w:r>
        <w:rPr>
          <w:spacing w:val="-16"/>
        </w:rPr>
        <w:t xml:space="preserve"> </w:t>
      </w:r>
      <w:r>
        <w:t>expedite unemployed individual’s return-to-work through short-term vocational skill training or the removal of financial barriers that prevent their accepting an offer of</w:t>
      </w:r>
      <w:r>
        <w:rPr>
          <w:spacing w:val="-10"/>
        </w:rPr>
        <w:t xml:space="preserve"> </w:t>
      </w:r>
      <w:r>
        <w:t>employment.</w:t>
      </w:r>
    </w:p>
    <w:p w:rsidR="00AA6D37" w:rsidRDefault="00AA6D37">
      <w:pPr>
        <w:pStyle w:val="BodyText"/>
        <w:spacing w:before="10"/>
        <w:rPr>
          <w:sz w:val="25"/>
        </w:rPr>
      </w:pPr>
    </w:p>
    <w:p w:rsidR="00AA6D37" w:rsidRDefault="00FC06D1">
      <w:pPr>
        <w:pStyle w:val="BodyText"/>
        <w:spacing w:line="259" w:lineRule="auto"/>
        <w:ind w:left="120" w:right="114"/>
        <w:jc w:val="both"/>
      </w:pPr>
      <w:r>
        <w:t>Financial barriers include expenses that are often incurred by a prospective employee prior to his being able to begin employment in an offered position. These include costs for health cards, gaming cards, background checks, security clearances, alcohol awareness classes and certifications, work clothing, safety shoes, and basic tools. While these costs are nominal, they can be an insurmountable hurdle to an individual who is suffering financial hardship due to being unemployed. Their financial inability to purchase required items often prevents job seekers from being able to accept offered employment.</w:t>
      </w:r>
    </w:p>
    <w:p w:rsidR="00AA6D37" w:rsidRDefault="00AA6D37">
      <w:pPr>
        <w:pStyle w:val="BodyText"/>
        <w:spacing w:before="7"/>
        <w:rPr>
          <w:sz w:val="25"/>
        </w:rPr>
      </w:pPr>
    </w:p>
    <w:p w:rsidR="00AA6D37" w:rsidRDefault="00FC06D1">
      <w:pPr>
        <w:pStyle w:val="BodyText"/>
        <w:spacing w:line="259" w:lineRule="auto"/>
        <w:ind w:left="120" w:right="119"/>
        <w:jc w:val="both"/>
      </w:pPr>
      <w:r>
        <w:t>The flexibility and responsiveness of the CEP Program allows the JobConnect office</w:t>
      </w:r>
      <w:r w:rsidR="00346EEF">
        <w:t>s</w:t>
      </w:r>
      <w:r>
        <w:t xml:space="preserve"> to react quickly to the real-time needs of Nevada job seekers and Nevada employers.</w:t>
      </w:r>
    </w:p>
    <w:p w:rsidR="00EE5581" w:rsidRPr="00EE5581" w:rsidRDefault="00EE5581">
      <w:pPr>
        <w:pStyle w:val="BodyText"/>
        <w:spacing w:before="2"/>
        <w:ind w:left="119"/>
        <w:jc w:val="both"/>
      </w:pPr>
    </w:p>
    <w:p w:rsidR="00AA6D37" w:rsidRPr="00EE5581" w:rsidRDefault="00FC06D1">
      <w:pPr>
        <w:pStyle w:val="BodyText"/>
        <w:spacing w:before="2"/>
        <w:ind w:left="119"/>
        <w:jc w:val="both"/>
        <w:rPr>
          <w:b/>
        </w:rPr>
      </w:pPr>
      <w:r w:rsidRPr="00EE5581">
        <w:rPr>
          <w:b/>
        </w:rPr>
        <w:t>Effectiveness in Serving Employers:</w:t>
      </w:r>
    </w:p>
    <w:p w:rsidR="00AA6D37" w:rsidRDefault="00AA6D37">
      <w:pPr>
        <w:pStyle w:val="BodyText"/>
        <w:spacing w:before="8"/>
        <w:rPr>
          <w:sz w:val="27"/>
        </w:rPr>
      </w:pPr>
    </w:p>
    <w:p w:rsidR="00AA6D37" w:rsidRDefault="00FC06D1">
      <w:pPr>
        <w:pStyle w:val="BodyText"/>
        <w:spacing w:before="1" w:line="259" w:lineRule="auto"/>
        <w:ind w:left="119" w:right="118"/>
        <w:jc w:val="both"/>
      </w:pPr>
      <w:r>
        <w:t>Nevada chose Employer Penetration Rate and Repeat Business Customers. As part of tracking these measures</w:t>
      </w:r>
      <w:r w:rsidR="00346EEF">
        <w:t>,</w:t>
      </w:r>
      <w:r>
        <w:t xml:space="preserve"> Nevada utilizes Opinion Meter to survey businesses after hiring events and other special activities that are performed. There are no state-established measures for this program year. (Appendices SAS report)</w:t>
      </w:r>
      <w:r w:rsidR="00D205B1">
        <w:t xml:space="preserve">.  The Southern Nevada One Stop Career Center </w:t>
      </w:r>
      <w:r w:rsidR="00B917EC">
        <w:t>has a satisfaction rate of 95.1% for PY18.</w:t>
      </w:r>
    </w:p>
    <w:p w:rsidR="00FC06D1" w:rsidRDefault="00FC06D1">
      <w:pPr>
        <w:pStyle w:val="BodyText"/>
        <w:spacing w:before="1" w:line="259" w:lineRule="auto"/>
        <w:ind w:left="119" w:right="118"/>
        <w:jc w:val="both"/>
      </w:pPr>
    </w:p>
    <w:p w:rsidR="0035243B" w:rsidRDefault="00F12572" w:rsidP="0035243B">
      <w:pPr>
        <w:pStyle w:val="BodyText"/>
        <w:keepNext/>
        <w:spacing w:before="8"/>
      </w:pPr>
      <w:r>
        <w:rPr>
          <w:sz w:val="25"/>
        </w:rPr>
        <w:object w:dxaOrig="1650" w:dyaOrig="1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Y18 SAS PDF Document" style="width:82.5pt;height:53.25pt" o:ole="">
            <v:imagedata r:id="rId15" o:title=""/>
          </v:shape>
          <o:OLEObject Type="Embed" ProgID="Acrobat.Document.2017" ShapeID="_x0000_i1025" DrawAspect="Icon" ObjectID="_1638875875" r:id="rId16"/>
        </w:object>
      </w:r>
    </w:p>
    <w:p w:rsidR="00AA6D37" w:rsidRDefault="0035243B" w:rsidP="0035243B">
      <w:pPr>
        <w:pStyle w:val="Caption"/>
        <w:rPr>
          <w:sz w:val="25"/>
        </w:rPr>
      </w:pPr>
      <w:r>
        <w:t xml:space="preserve">Figure </w:t>
      </w:r>
      <w:r w:rsidR="00B8762B">
        <w:fldChar w:fldCharType="begin"/>
      </w:r>
      <w:r w:rsidR="00B8762B">
        <w:instrText xml:space="preserve"> SEQ Figure \* ARABIC </w:instrText>
      </w:r>
      <w:r w:rsidR="00B8762B">
        <w:fldChar w:fldCharType="separate"/>
      </w:r>
      <w:r w:rsidR="00974094">
        <w:rPr>
          <w:noProof/>
        </w:rPr>
        <w:t>1</w:t>
      </w:r>
      <w:r w:rsidR="00B8762B">
        <w:rPr>
          <w:noProof/>
        </w:rPr>
        <w:fldChar w:fldCharType="end"/>
      </w:r>
      <w:r>
        <w:t xml:space="preserve"> - PY</w:t>
      </w:r>
      <w:r>
        <w:rPr>
          <w:noProof/>
        </w:rPr>
        <w:t>18 SAS PDF document</w:t>
      </w:r>
    </w:p>
    <w:p w:rsidR="00AA6D37" w:rsidRPr="000150B2" w:rsidRDefault="00FC06D1" w:rsidP="000150B2">
      <w:pPr>
        <w:pStyle w:val="BodyText"/>
        <w:spacing w:before="10"/>
        <w:rPr>
          <w:b/>
          <w:sz w:val="25"/>
        </w:rPr>
      </w:pPr>
      <w:r w:rsidRPr="000150B2">
        <w:rPr>
          <w:b/>
          <w:sz w:val="25"/>
        </w:rPr>
        <w:t>Waivers:</w:t>
      </w:r>
    </w:p>
    <w:p w:rsidR="00AA6D37" w:rsidRDefault="00AA6D37">
      <w:pPr>
        <w:pStyle w:val="BodyText"/>
        <w:spacing w:before="8"/>
        <w:rPr>
          <w:sz w:val="27"/>
        </w:rPr>
      </w:pPr>
    </w:p>
    <w:p w:rsidR="00AA6D37" w:rsidRPr="00853403" w:rsidRDefault="00FC06D1" w:rsidP="00853403">
      <w:pPr>
        <w:pStyle w:val="BodyText"/>
        <w:spacing w:before="1" w:line="259" w:lineRule="auto"/>
        <w:ind w:left="119" w:right="116"/>
        <w:jc w:val="both"/>
      </w:pPr>
      <w:r>
        <w:t xml:space="preserve">Nevada has been approved for one waiver request for the Eligible Training Provider Listing reporting. </w:t>
      </w:r>
      <w:r>
        <w:rPr>
          <w:spacing w:val="-3"/>
        </w:rPr>
        <w:t xml:space="preserve">It </w:t>
      </w:r>
      <w:r>
        <w:t>would require training providers to report outcome information for all WIOA</w:t>
      </w:r>
      <w:r>
        <w:rPr>
          <w:spacing w:val="-34"/>
        </w:rPr>
        <w:t xml:space="preserve"> </w:t>
      </w:r>
      <w:r>
        <w:t>clients, but not for their total student populations. This request has reduced the reporting burden on Nevada</w:t>
      </w:r>
      <w:r>
        <w:rPr>
          <w:spacing w:val="-6"/>
        </w:rPr>
        <w:t xml:space="preserve"> </w:t>
      </w:r>
      <w:r>
        <w:t>training</w:t>
      </w:r>
      <w:r>
        <w:rPr>
          <w:spacing w:val="-7"/>
        </w:rPr>
        <w:t xml:space="preserve"> </w:t>
      </w:r>
      <w:r>
        <w:t>providers</w:t>
      </w:r>
      <w:r>
        <w:rPr>
          <w:spacing w:val="-5"/>
        </w:rPr>
        <w:t xml:space="preserve"> </w:t>
      </w:r>
      <w:r>
        <w:t>while</w:t>
      </w:r>
      <w:r>
        <w:rPr>
          <w:spacing w:val="-6"/>
        </w:rPr>
        <w:t xml:space="preserve"> </w:t>
      </w:r>
      <w:r>
        <w:t>retaining</w:t>
      </w:r>
      <w:r>
        <w:rPr>
          <w:spacing w:val="-7"/>
        </w:rPr>
        <w:t xml:space="preserve"> </w:t>
      </w:r>
      <w:r>
        <w:t>the</w:t>
      </w:r>
      <w:r>
        <w:rPr>
          <w:spacing w:val="-6"/>
        </w:rPr>
        <w:t xml:space="preserve"> </w:t>
      </w:r>
      <w:r>
        <w:t>requirement</w:t>
      </w:r>
      <w:r>
        <w:rPr>
          <w:spacing w:val="-4"/>
        </w:rPr>
        <w:t xml:space="preserve"> </w:t>
      </w:r>
      <w:r>
        <w:t>to</w:t>
      </w:r>
      <w:r>
        <w:rPr>
          <w:spacing w:val="-5"/>
        </w:rPr>
        <w:t xml:space="preserve"> </w:t>
      </w:r>
      <w:r>
        <w:t>report</w:t>
      </w:r>
      <w:r>
        <w:rPr>
          <w:spacing w:val="-4"/>
        </w:rPr>
        <w:t xml:space="preserve"> </w:t>
      </w:r>
      <w:r>
        <w:t>required</w:t>
      </w:r>
      <w:r>
        <w:rPr>
          <w:spacing w:val="-5"/>
        </w:rPr>
        <w:t xml:space="preserve"> </w:t>
      </w:r>
      <w:r>
        <w:t>performance</w:t>
      </w:r>
      <w:r>
        <w:rPr>
          <w:spacing w:val="-6"/>
        </w:rPr>
        <w:t xml:space="preserve"> </w:t>
      </w:r>
      <w:r>
        <w:t>data</w:t>
      </w:r>
      <w:r>
        <w:rPr>
          <w:spacing w:val="-6"/>
        </w:rPr>
        <w:t xml:space="preserve"> </w:t>
      </w:r>
      <w:r>
        <w:t>for all WIOA funded</w:t>
      </w:r>
      <w:r>
        <w:rPr>
          <w:spacing w:val="-2"/>
        </w:rPr>
        <w:t xml:space="preserve"> </w:t>
      </w:r>
      <w:r>
        <w:t>participants.</w:t>
      </w:r>
    </w:p>
    <w:p w:rsidR="00AA6D37" w:rsidRPr="002821E5" w:rsidRDefault="00FC06D1" w:rsidP="000150B2">
      <w:pPr>
        <w:pStyle w:val="BodyText"/>
        <w:ind w:left="120"/>
        <w:rPr>
          <w:b/>
        </w:rPr>
      </w:pPr>
      <w:r w:rsidRPr="002821E5">
        <w:rPr>
          <w:b/>
        </w:rPr>
        <w:t>State’s approach to data validation (DEV):</w:t>
      </w:r>
    </w:p>
    <w:p w:rsidR="00AA6D37" w:rsidRDefault="00AA6D37">
      <w:pPr>
        <w:pStyle w:val="BodyText"/>
        <w:spacing w:before="8"/>
        <w:rPr>
          <w:sz w:val="12"/>
        </w:rPr>
      </w:pPr>
    </w:p>
    <w:p w:rsidR="00AA6D37" w:rsidRDefault="00FC06D1">
      <w:pPr>
        <w:pStyle w:val="BodyText"/>
        <w:spacing w:before="90" w:line="259" w:lineRule="auto"/>
        <w:ind w:left="120" w:right="119"/>
        <w:jc w:val="both"/>
      </w:pPr>
      <w:r>
        <w:t xml:space="preserve">Nevada uses several strategies for this task. First the WIOA program monitoring worksheets that are utilized </w:t>
      </w:r>
      <w:r>
        <w:lastRenderedPageBreak/>
        <w:t>for on-site reviews have been updated to include the elements outlined in the Source Documentation Requirements for Programs guide issued by DOL. Additionally, program staff that</w:t>
      </w:r>
      <w:r>
        <w:rPr>
          <w:spacing w:val="-6"/>
        </w:rPr>
        <w:t xml:space="preserve"> </w:t>
      </w:r>
      <w:r>
        <w:t>are</w:t>
      </w:r>
      <w:r>
        <w:rPr>
          <w:spacing w:val="-5"/>
        </w:rPr>
        <w:t xml:space="preserve"> </w:t>
      </w:r>
      <w:r>
        <w:t>assigned</w:t>
      </w:r>
      <w:r>
        <w:rPr>
          <w:spacing w:val="-6"/>
        </w:rPr>
        <w:t xml:space="preserve"> </w:t>
      </w:r>
      <w:r>
        <w:t>to</w:t>
      </w:r>
      <w:r>
        <w:rPr>
          <w:spacing w:val="-4"/>
        </w:rPr>
        <w:t xml:space="preserve"> </w:t>
      </w:r>
      <w:r>
        <w:t>WIOA</w:t>
      </w:r>
      <w:r>
        <w:rPr>
          <w:spacing w:val="-7"/>
        </w:rPr>
        <w:t xml:space="preserve"> </w:t>
      </w:r>
      <w:r>
        <w:t>do</w:t>
      </w:r>
      <w:r>
        <w:rPr>
          <w:spacing w:val="-6"/>
        </w:rPr>
        <w:t xml:space="preserve"> </w:t>
      </w:r>
      <w:r>
        <w:t>desk</w:t>
      </w:r>
      <w:r>
        <w:rPr>
          <w:spacing w:val="-4"/>
        </w:rPr>
        <w:t xml:space="preserve"> </w:t>
      </w:r>
      <w:r>
        <w:t>top</w:t>
      </w:r>
      <w:r>
        <w:rPr>
          <w:spacing w:val="-6"/>
        </w:rPr>
        <w:t xml:space="preserve"> </w:t>
      </w:r>
      <w:r>
        <w:t>monitoring</w:t>
      </w:r>
      <w:r>
        <w:rPr>
          <w:spacing w:val="-6"/>
        </w:rPr>
        <w:t xml:space="preserve"> </w:t>
      </w:r>
      <w:r>
        <w:t>to</w:t>
      </w:r>
      <w:r>
        <w:rPr>
          <w:spacing w:val="-6"/>
        </w:rPr>
        <w:t xml:space="preserve"> </w:t>
      </w:r>
      <w:r>
        <w:t>validate</w:t>
      </w:r>
      <w:r>
        <w:rPr>
          <w:spacing w:val="-7"/>
        </w:rPr>
        <w:t xml:space="preserve"> </w:t>
      </w:r>
      <w:r>
        <w:t>that</w:t>
      </w:r>
      <w:r>
        <w:rPr>
          <w:spacing w:val="-3"/>
        </w:rPr>
        <w:t xml:space="preserve"> </w:t>
      </w:r>
      <w:r>
        <w:t>the</w:t>
      </w:r>
      <w:r>
        <w:rPr>
          <w:spacing w:val="-7"/>
        </w:rPr>
        <w:t xml:space="preserve"> </w:t>
      </w:r>
      <w:r>
        <w:t>correct</w:t>
      </w:r>
      <w:r>
        <w:rPr>
          <w:spacing w:val="-6"/>
        </w:rPr>
        <w:t xml:space="preserve"> </w:t>
      </w:r>
      <w:r>
        <w:t>information</w:t>
      </w:r>
      <w:r>
        <w:rPr>
          <w:spacing w:val="-6"/>
        </w:rPr>
        <w:t xml:space="preserve"> </w:t>
      </w:r>
      <w:r>
        <w:t>is</w:t>
      </w:r>
      <w:r>
        <w:rPr>
          <w:spacing w:val="-6"/>
        </w:rPr>
        <w:t xml:space="preserve"> </w:t>
      </w:r>
      <w:r>
        <w:t>being captured. Lastly, each quarterly PIRL report is analyzed by the Automated Reporting team with program</w:t>
      </w:r>
      <w:r>
        <w:rPr>
          <w:spacing w:val="-1"/>
        </w:rPr>
        <w:t xml:space="preserve"> </w:t>
      </w:r>
      <w:r>
        <w:t>staff.</w:t>
      </w:r>
    </w:p>
    <w:p w:rsidR="00AA6D37" w:rsidRDefault="00AA6D37">
      <w:pPr>
        <w:pStyle w:val="BodyText"/>
        <w:spacing w:before="10"/>
        <w:rPr>
          <w:sz w:val="25"/>
        </w:rPr>
      </w:pPr>
    </w:p>
    <w:p w:rsidR="00AA6D37" w:rsidRPr="002821E5" w:rsidRDefault="00FC06D1">
      <w:pPr>
        <w:pStyle w:val="BodyText"/>
        <w:ind w:left="120"/>
        <w:rPr>
          <w:b/>
        </w:rPr>
      </w:pPr>
      <w:r w:rsidRPr="002821E5">
        <w:rPr>
          <w:b/>
        </w:rPr>
        <w:t>Rapid Response activities and Layoff Aversion:</w:t>
      </w:r>
    </w:p>
    <w:p w:rsidR="00AA6D37" w:rsidRDefault="00AA6D37">
      <w:pPr>
        <w:pStyle w:val="BodyText"/>
        <w:spacing w:before="9"/>
        <w:rPr>
          <w:sz w:val="27"/>
        </w:rPr>
      </w:pPr>
    </w:p>
    <w:p w:rsidR="00AA6D37" w:rsidRDefault="00FC06D1">
      <w:pPr>
        <w:pStyle w:val="BodyText"/>
        <w:spacing w:line="259" w:lineRule="auto"/>
        <w:ind w:left="119" w:right="115"/>
        <w:jc w:val="both"/>
      </w:pPr>
      <w:r>
        <w:t>The</w:t>
      </w:r>
      <w:r>
        <w:rPr>
          <w:spacing w:val="-12"/>
        </w:rPr>
        <w:t xml:space="preserve"> </w:t>
      </w:r>
      <w:r>
        <w:t>primary</w:t>
      </w:r>
      <w:r>
        <w:rPr>
          <w:spacing w:val="-16"/>
        </w:rPr>
        <w:t xml:space="preserve"> </w:t>
      </w:r>
      <w:r>
        <w:t>responsibility</w:t>
      </w:r>
      <w:r>
        <w:rPr>
          <w:spacing w:val="-13"/>
        </w:rPr>
        <w:t xml:space="preserve"> </w:t>
      </w:r>
      <w:r>
        <w:t>to</w:t>
      </w:r>
      <w:r>
        <w:rPr>
          <w:spacing w:val="-9"/>
        </w:rPr>
        <w:t xml:space="preserve"> </w:t>
      </w:r>
      <w:r>
        <w:t>carry</w:t>
      </w:r>
      <w:r>
        <w:rPr>
          <w:spacing w:val="-13"/>
        </w:rPr>
        <w:t xml:space="preserve"> </w:t>
      </w:r>
      <w:r>
        <w:t>out</w:t>
      </w:r>
      <w:r>
        <w:rPr>
          <w:spacing w:val="-11"/>
        </w:rPr>
        <w:t xml:space="preserve"> </w:t>
      </w:r>
      <w:r>
        <w:t>Rapid</w:t>
      </w:r>
      <w:r>
        <w:rPr>
          <w:spacing w:val="-11"/>
        </w:rPr>
        <w:t xml:space="preserve"> </w:t>
      </w:r>
      <w:r>
        <w:t>Response</w:t>
      </w:r>
      <w:r>
        <w:rPr>
          <w:spacing w:val="-12"/>
        </w:rPr>
        <w:t xml:space="preserve"> </w:t>
      </w:r>
      <w:r>
        <w:t>activities</w:t>
      </w:r>
      <w:r>
        <w:rPr>
          <w:spacing w:val="-11"/>
        </w:rPr>
        <w:t xml:space="preserve"> </w:t>
      </w:r>
      <w:r>
        <w:t>remains</w:t>
      </w:r>
      <w:r>
        <w:rPr>
          <w:spacing w:val="-11"/>
        </w:rPr>
        <w:t xml:space="preserve"> </w:t>
      </w:r>
      <w:r>
        <w:t>with</w:t>
      </w:r>
      <w:r>
        <w:rPr>
          <w:spacing w:val="-11"/>
        </w:rPr>
        <w:t xml:space="preserve"> </w:t>
      </w:r>
      <w:r>
        <w:t>the</w:t>
      </w:r>
      <w:r>
        <w:rPr>
          <w:spacing w:val="-12"/>
        </w:rPr>
        <w:t xml:space="preserve"> </w:t>
      </w:r>
      <w:r>
        <w:t>state</w:t>
      </w:r>
      <w:r>
        <w:rPr>
          <w:spacing w:val="-10"/>
        </w:rPr>
        <w:t xml:space="preserve"> </w:t>
      </w:r>
      <w:r>
        <w:t>workforce agency, DETR. The agency is designated by the governor to ensure delivery of comprehensive workforce</w:t>
      </w:r>
      <w:r>
        <w:rPr>
          <w:spacing w:val="-8"/>
        </w:rPr>
        <w:t xml:space="preserve"> </w:t>
      </w:r>
      <w:r>
        <w:t>services</w:t>
      </w:r>
      <w:r>
        <w:rPr>
          <w:spacing w:val="-7"/>
        </w:rPr>
        <w:t xml:space="preserve"> </w:t>
      </w:r>
      <w:r>
        <w:t>to</w:t>
      </w:r>
      <w:r>
        <w:rPr>
          <w:spacing w:val="-7"/>
        </w:rPr>
        <w:t xml:space="preserve"> </w:t>
      </w:r>
      <w:r>
        <w:t>businesses</w:t>
      </w:r>
      <w:r>
        <w:rPr>
          <w:spacing w:val="-7"/>
        </w:rPr>
        <w:t xml:space="preserve"> </w:t>
      </w:r>
      <w:r>
        <w:t>in</w:t>
      </w:r>
      <w:r>
        <w:rPr>
          <w:spacing w:val="-7"/>
        </w:rPr>
        <w:t xml:space="preserve"> </w:t>
      </w:r>
      <w:r>
        <w:t>transition</w:t>
      </w:r>
      <w:r>
        <w:rPr>
          <w:spacing w:val="-7"/>
        </w:rPr>
        <w:t xml:space="preserve"> </w:t>
      </w:r>
      <w:r>
        <w:t>and</w:t>
      </w:r>
      <w:r>
        <w:rPr>
          <w:spacing w:val="-5"/>
        </w:rPr>
        <w:t xml:space="preserve"> </w:t>
      </w:r>
      <w:r>
        <w:t>workers</w:t>
      </w:r>
      <w:r>
        <w:rPr>
          <w:spacing w:val="-5"/>
        </w:rPr>
        <w:t xml:space="preserve"> </w:t>
      </w:r>
      <w:r>
        <w:t>facing</w:t>
      </w:r>
      <w:r>
        <w:rPr>
          <w:spacing w:val="-10"/>
        </w:rPr>
        <w:t xml:space="preserve"> </w:t>
      </w:r>
      <w:r>
        <w:t>dislocation</w:t>
      </w:r>
      <w:r>
        <w:rPr>
          <w:spacing w:val="-7"/>
        </w:rPr>
        <w:t xml:space="preserve"> </w:t>
      </w:r>
      <w:r>
        <w:t>due</w:t>
      </w:r>
      <w:r>
        <w:rPr>
          <w:spacing w:val="-8"/>
        </w:rPr>
        <w:t xml:space="preserve"> </w:t>
      </w:r>
      <w:r>
        <w:t>to</w:t>
      </w:r>
      <w:r>
        <w:rPr>
          <w:spacing w:val="-7"/>
        </w:rPr>
        <w:t xml:space="preserve"> </w:t>
      </w:r>
      <w:r>
        <w:t>layoffs</w:t>
      </w:r>
      <w:r>
        <w:rPr>
          <w:spacing w:val="-5"/>
        </w:rPr>
        <w:t xml:space="preserve"> </w:t>
      </w:r>
      <w:r>
        <w:t>and/or business</w:t>
      </w:r>
      <w:r>
        <w:rPr>
          <w:spacing w:val="-14"/>
        </w:rPr>
        <w:t xml:space="preserve"> </w:t>
      </w:r>
      <w:r>
        <w:t>closures</w:t>
      </w:r>
      <w:r>
        <w:rPr>
          <w:spacing w:val="-14"/>
        </w:rPr>
        <w:t xml:space="preserve"> </w:t>
      </w:r>
      <w:r>
        <w:t>of</w:t>
      </w:r>
      <w:r>
        <w:rPr>
          <w:spacing w:val="-15"/>
        </w:rPr>
        <w:t xml:space="preserve"> </w:t>
      </w:r>
      <w:r>
        <w:t>any</w:t>
      </w:r>
      <w:r>
        <w:rPr>
          <w:spacing w:val="-21"/>
        </w:rPr>
        <w:t xml:space="preserve"> </w:t>
      </w:r>
      <w:r>
        <w:t>size</w:t>
      </w:r>
      <w:r>
        <w:rPr>
          <w:spacing w:val="-15"/>
        </w:rPr>
        <w:t xml:space="preserve"> </w:t>
      </w:r>
      <w:r>
        <w:t>both</w:t>
      </w:r>
      <w:r>
        <w:rPr>
          <w:spacing w:val="-14"/>
        </w:rPr>
        <w:t xml:space="preserve"> </w:t>
      </w:r>
      <w:r>
        <w:t>in</w:t>
      </w:r>
      <w:r>
        <w:rPr>
          <w:spacing w:val="-17"/>
        </w:rPr>
        <w:t xml:space="preserve"> </w:t>
      </w:r>
      <w:r>
        <w:t>Worker</w:t>
      </w:r>
      <w:r>
        <w:rPr>
          <w:spacing w:val="-15"/>
        </w:rPr>
        <w:t xml:space="preserve"> </w:t>
      </w:r>
      <w:r>
        <w:t>Adjustment</w:t>
      </w:r>
      <w:r>
        <w:rPr>
          <w:spacing w:val="-14"/>
        </w:rPr>
        <w:t xml:space="preserve"> </w:t>
      </w:r>
      <w:r>
        <w:t>and</w:t>
      </w:r>
      <w:r>
        <w:rPr>
          <w:spacing w:val="-14"/>
        </w:rPr>
        <w:t xml:space="preserve"> </w:t>
      </w:r>
      <w:r>
        <w:t>Retraining</w:t>
      </w:r>
      <w:r>
        <w:rPr>
          <w:spacing w:val="-17"/>
        </w:rPr>
        <w:t xml:space="preserve"> </w:t>
      </w:r>
      <w:r>
        <w:t>Notification</w:t>
      </w:r>
      <w:r>
        <w:rPr>
          <w:spacing w:val="-14"/>
        </w:rPr>
        <w:t xml:space="preserve"> </w:t>
      </w:r>
      <w:r>
        <w:t>Act</w:t>
      </w:r>
      <w:r>
        <w:rPr>
          <w:spacing w:val="-14"/>
        </w:rPr>
        <w:t xml:space="preserve"> </w:t>
      </w:r>
      <w:r>
        <w:t>(WARN) and</w:t>
      </w:r>
      <w:r>
        <w:rPr>
          <w:spacing w:val="-15"/>
        </w:rPr>
        <w:t xml:space="preserve"> </w:t>
      </w:r>
      <w:r>
        <w:t>non-WARN</w:t>
      </w:r>
      <w:r>
        <w:rPr>
          <w:spacing w:val="-16"/>
        </w:rPr>
        <w:t xml:space="preserve"> </w:t>
      </w:r>
      <w:r>
        <w:t>instances.</w:t>
      </w:r>
      <w:r>
        <w:rPr>
          <w:spacing w:val="-15"/>
        </w:rPr>
        <w:t xml:space="preserve"> </w:t>
      </w:r>
      <w:r>
        <w:t>These</w:t>
      </w:r>
      <w:r>
        <w:rPr>
          <w:spacing w:val="-16"/>
        </w:rPr>
        <w:t xml:space="preserve"> </w:t>
      </w:r>
      <w:r>
        <w:t>services</w:t>
      </w:r>
      <w:r>
        <w:rPr>
          <w:spacing w:val="-15"/>
        </w:rPr>
        <w:t xml:space="preserve"> </w:t>
      </w:r>
      <w:r>
        <w:t>are</w:t>
      </w:r>
      <w:r>
        <w:rPr>
          <w:spacing w:val="-14"/>
        </w:rPr>
        <w:t xml:space="preserve"> </w:t>
      </w:r>
      <w:r>
        <w:t>coordinated</w:t>
      </w:r>
      <w:r>
        <w:rPr>
          <w:spacing w:val="-15"/>
        </w:rPr>
        <w:t xml:space="preserve"> </w:t>
      </w:r>
      <w:r>
        <w:t>through</w:t>
      </w:r>
      <w:r>
        <w:rPr>
          <w:spacing w:val="-15"/>
        </w:rPr>
        <w:t xml:space="preserve"> </w:t>
      </w:r>
      <w:r>
        <w:t>DETR’s</w:t>
      </w:r>
      <w:r>
        <w:rPr>
          <w:spacing w:val="-15"/>
        </w:rPr>
        <w:t xml:space="preserve"> </w:t>
      </w:r>
      <w:r>
        <w:t>Workforce</w:t>
      </w:r>
      <w:r>
        <w:rPr>
          <w:spacing w:val="-14"/>
        </w:rPr>
        <w:t xml:space="preserve"> </w:t>
      </w:r>
      <w:r>
        <w:t>Investment Support</w:t>
      </w:r>
      <w:r>
        <w:rPr>
          <w:spacing w:val="-7"/>
        </w:rPr>
        <w:t xml:space="preserve"> </w:t>
      </w:r>
      <w:r>
        <w:t>Services</w:t>
      </w:r>
      <w:r>
        <w:rPr>
          <w:spacing w:val="-7"/>
        </w:rPr>
        <w:t xml:space="preserve"> </w:t>
      </w:r>
      <w:r>
        <w:t>(WISS)</w:t>
      </w:r>
      <w:r>
        <w:rPr>
          <w:spacing w:val="-6"/>
        </w:rPr>
        <w:t xml:space="preserve"> </w:t>
      </w:r>
      <w:r>
        <w:t>section.</w:t>
      </w:r>
      <w:r>
        <w:rPr>
          <w:spacing w:val="-7"/>
        </w:rPr>
        <w:t xml:space="preserve"> </w:t>
      </w:r>
      <w:r>
        <w:t>Nevada’s</w:t>
      </w:r>
      <w:r>
        <w:rPr>
          <w:spacing w:val="-7"/>
        </w:rPr>
        <w:t xml:space="preserve"> </w:t>
      </w:r>
      <w:r>
        <w:t>Rapid</w:t>
      </w:r>
      <w:r>
        <w:rPr>
          <w:spacing w:val="-5"/>
        </w:rPr>
        <w:t xml:space="preserve"> </w:t>
      </w:r>
      <w:r>
        <w:t>Response</w:t>
      </w:r>
      <w:r>
        <w:rPr>
          <w:spacing w:val="-8"/>
        </w:rPr>
        <w:t xml:space="preserve"> </w:t>
      </w:r>
      <w:r>
        <w:t>team</w:t>
      </w:r>
      <w:r>
        <w:rPr>
          <w:spacing w:val="-7"/>
        </w:rPr>
        <w:t xml:space="preserve"> </w:t>
      </w:r>
      <w:r>
        <w:t>consists</w:t>
      </w:r>
      <w:r>
        <w:rPr>
          <w:spacing w:val="-7"/>
        </w:rPr>
        <w:t xml:space="preserve"> </w:t>
      </w:r>
      <w:r>
        <w:t>of</w:t>
      </w:r>
      <w:r>
        <w:rPr>
          <w:spacing w:val="-8"/>
        </w:rPr>
        <w:t xml:space="preserve"> </w:t>
      </w:r>
      <w:r>
        <w:t>individuals</w:t>
      </w:r>
      <w:r>
        <w:rPr>
          <w:spacing w:val="-7"/>
        </w:rPr>
        <w:t xml:space="preserve"> </w:t>
      </w:r>
      <w:r>
        <w:t>from</w:t>
      </w:r>
      <w:r>
        <w:rPr>
          <w:spacing w:val="-7"/>
        </w:rPr>
        <w:t xml:space="preserve"> </w:t>
      </w:r>
      <w:r>
        <w:t xml:space="preserve">the local boards, dislocated worker service providers, organized labor and DETR’s ESD division; which are all part of the American Job Centers of Nevada. The team endeavors to educate businesses and dislocated workers about services and information available through federal, state and local organizations to reduce the effects of businesses in transition. In Program Year 2018, </w:t>
      </w:r>
      <w:r w:rsidR="00346EEF">
        <w:t xml:space="preserve">the </w:t>
      </w:r>
      <w:r>
        <w:t>Nevada Rapid Response team reached out to approximately 59 employers</w:t>
      </w:r>
      <w:r w:rsidR="006409D4">
        <w:t xml:space="preserve"> </w:t>
      </w:r>
      <w:r>
        <w:t>that were in transition and introduced services and provided information to approximately 600 dislocated workers. Additionally, the team makes every effort to conduct immediate and on-site assessments with employers and worker representatives to evaluate the specific needs of the event and to provide intervention services which include layoff aversion activities when possible, which in Program Year</w:t>
      </w:r>
      <w:r>
        <w:rPr>
          <w:spacing w:val="-6"/>
        </w:rPr>
        <w:t xml:space="preserve"> </w:t>
      </w:r>
      <w:r>
        <w:t>2018</w:t>
      </w:r>
      <w:r>
        <w:rPr>
          <w:spacing w:val="-5"/>
        </w:rPr>
        <w:t xml:space="preserve"> </w:t>
      </w:r>
      <w:r>
        <w:t>the</w:t>
      </w:r>
      <w:r>
        <w:rPr>
          <w:spacing w:val="-6"/>
        </w:rPr>
        <w:t xml:space="preserve"> </w:t>
      </w:r>
      <w:r>
        <w:t>Rapid</w:t>
      </w:r>
      <w:r>
        <w:rPr>
          <w:spacing w:val="-5"/>
        </w:rPr>
        <w:t xml:space="preserve"> </w:t>
      </w:r>
      <w:r>
        <w:t>Response</w:t>
      </w:r>
      <w:r>
        <w:rPr>
          <w:spacing w:val="-6"/>
        </w:rPr>
        <w:t xml:space="preserve"> </w:t>
      </w:r>
      <w:r>
        <w:t>team</w:t>
      </w:r>
      <w:r>
        <w:rPr>
          <w:spacing w:val="-4"/>
        </w:rPr>
        <w:t xml:space="preserve"> </w:t>
      </w:r>
      <w:r>
        <w:t>coordinated</w:t>
      </w:r>
      <w:r>
        <w:rPr>
          <w:spacing w:val="-5"/>
        </w:rPr>
        <w:t xml:space="preserve"> </w:t>
      </w:r>
      <w:r>
        <w:t>job</w:t>
      </w:r>
      <w:r>
        <w:rPr>
          <w:spacing w:val="-5"/>
        </w:rPr>
        <w:t xml:space="preserve"> </w:t>
      </w:r>
      <w:r>
        <w:t>fairs</w:t>
      </w:r>
      <w:r>
        <w:rPr>
          <w:spacing w:val="-5"/>
        </w:rPr>
        <w:t xml:space="preserve"> </w:t>
      </w:r>
      <w:r>
        <w:t>that</w:t>
      </w:r>
      <w:r>
        <w:rPr>
          <w:spacing w:val="-4"/>
        </w:rPr>
        <w:t xml:space="preserve"> </w:t>
      </w:r>
      <w:r>
        <w:t>assisted</w:t>
      </w:r>
      <w:r>
        <w:rPr>
          <w:spacing w:val="-5"/>
        </w:rPr>
        <w:t xml:space="preserve"> </w:t>
      </w:r>
      <w:r>
        <w:t>some</w:t>
      </w:r>
      <w:r>
        <w:rPr>
          <w:spacing w:val="-6"/>
        </w:rPr>
        <w:t xml:space="preserve"> </w:t>
      </w:r>
      <w:r>
        <w:t>of</w:t>
      </w:r>
      <w:r>
        <w:rPr>
          <w:spacing w:val="-6"/>
        </w:rPr>
        <w:t xml:space="preserve"> </w:t>
      </w:r>
      <w:r>
        <w:t>the</w:t>
      </w:r>
      <w:r>
        <w:rPr>
          <w:spacing w:val="-6"/>
        </w:rPr>
        <w:t xml:space="preserve"> </w:t>
      </w:r>
      <w:r>
        <w:t>600</w:t>
      </w:r>
      <w:r>
        <w:rPr>
          <w:spacing w:val="-5"/>
        </w:rPr>
        <w:t xml:space="preserve"> </w:t>
      </w:r>
      <w:r>
        <w:t>dislocated workers</w:t>
      </w:r>
      <w:r>
        <w:rPr>
          <w:spacing w:val="-13"/>
        </w:rPr>
        <w:t xml:space="preserve"> </w:t>
      </w:r>
      <w:r>
        <w:t>to</w:t>
      </w:r>
      <w:r>
        <w:rPr>
          <w:spacing w:val="-11"/>
        </w:rPr>
        <w:t xml:space="preserve"> </w:t>
      </w:r>
      <w:r>
        <w:t>avert</w:t>
      </w:r>
      <w:r>
        <w:rPr>
          <w:spacing w:val="-13"/>
        </w:rPr>
        <w:t xml:space="preserve"> </w:t>
      </w:r>
      <w:r>
        <w:t>being</w:t>
      </w:r>
      <w:r>
        <w:rPr>
          <w:spacing w:val="-16"/>
        </w:rPr>
        <w:t xml:space="preserve"> </w:t>
      </w:r>
      <w:r>
        <w:t>laid</w:t>
      </w:r>
      <w:r>
        <w:rPr>
          <w:spacing w:val="-13"/>
        </w:rPr>
        <w:t xml:space="preserve"> </w:t>
      </w:r>
      <w:r>
        <w:t>off.</w:t>
      </w:r>
      <w:r>
        <w:rPr>
          <w:spacing w:val="-13"/>
        </w:rPr>
        <w:t xml:space="preserve"> </w:t>
      </w:r>
      <w:r w:rsidR="00983A52">
        <w:rPr>
          <w:spacing w:val="-13"/>
        </w:rPr>
        <w:t xml:space="preserve"> </w:t>
      </w:r>
      <w:r>
        <w:t>Nevada’s</w:t>
      </w:r>
      <w:r>
        <w:rPr>
          <w:spacing w:val="-13"/>
        </w:rPr>
        <w:t xml:space="preserve"> </w:t>
      </w:r>
      <w:r>
        <w:t>Rapid</w:t>
      </w:r>
      <w:r>
        <w:rPr>
          <w:spacing w:val="-13"/>
        </w:rPr>
        <w:t xml:space="preserve"> </w:t>
      </w:r>
      <w:r>
        <w:t>Response</w:t>
      </w:r>
      <w:r>
        <w:rPr>
          <w:spacing w:val="-14"/>
        </w:rPr>
        <w:t xml:space="preserve"> </w:t>
      </w:r>
      <w:r>
        <w:t>unit</w:t>
      </w:r>
      <w:r>
        <w:rPr>
          <w:spacing w:val="-13"/>
        </w:rPr>
        <w:t xml:space="preserve"> </w:t>
      </w:r>
      <w:r>
        <w:t>works</w:t>
      </w:r>
      <w:r>
        <w:rPr>
          <w:spacing w:val="-13"/>
        </w:rPr>
        <w:t xml:space="preserve"> </w:t>
      </w:r>
      <w:r>
        <w:t>in</w:t>
      </w:r>
      <w:r>
        <w:rPr>
          <w:spacing w:val="-13"/>
        </w:rPr>
        <w:t xml:space="preserve"> </w:t>
      </w:r>
      <w:r>
        <w:t>conjunction</w:t>
      </w:r>
      <w:r>
        <w:rPr>
          <w:spacing w:val="-13"/>
        </w:rPr>
        <w:t xml:space="preserve"> </w:t>
      </w:r>
      <w:r>
        <w:t>with</w:t>
      </w:r>
      <w:r>
        <w:rPr>
          <w:spacing w:val="-13"/>
        </w:rPr>
        <w:t xml:space="preserve"> </w:t>
      </w:r>
      <w:r>
        <w:t>the</w:t>
      </w:r>
      <w:r>
        <w:rPr>
          <w:spacing w:val="-14"/>
        </w:rPr>
        <w:t xml:space="preserve"> </w:t>
      </w:r>
      <w:r>
        <w:t>Trade Adjustment Assistance (TAA) program to ensure all activities are available to businesses in transition and assist dislocated workers transition into employment as quickly as</w:t>
      </w:r>
      <w:r>
        <w:rPr>
          <w:spacing w:val="-14"/>
        </w:rPr>
        <w:t xml:space="preserve"> </w:t>
      </w:r>
      <w:r>
        <w:t>possible.</w:t>
      </w:r>
    </w:p>
    <w:p w:rsidR="00AA6D37" w:rsidRDefault="00AA6D37">
      <w:pPr>
        <w:pStyle w:val="BodyText"/>
        <w:spacing w:before="6"/>
        <w:rPr>
          <w:sz w:val="25"/>
        </w:rPr>
      </w:pPr>
    </w:p>
    <w:p w:rsidR="00AA6D37" w:rsidRPr="002821E5" w:rsidRDefault="00FC06D1">
      <w:pPr>
        <w:pStyle w:val="BodyText"/>
        <w:ind w:left="120"/>
        <w:rPr>
          <w:b/>
        </w:rPr>
      </w:pPr>
      <w:r w:rsidRPr="002821E5">
        <w:rPr>
          <w:b/>
        </w:rPr>
        <w:t>Title I Activities:</w:t>
      </w:r>
    </w:p>
    <w:p w:rsidR="00AA6D37" w:rsidRDefault="00AA6D37">
      <w:pPr>
        <w:pStyle w:val="BodyText"/>
        <w:spacing w:before="9"/>
        <w:rPr>
          <w:sz w:val="27"/>
        </w:rPr>
      </w:pPr>
    </w:p>
    <w:p w:rsidR="00AA6D37" w:rsidRDefault="00FC06D1">
      <w:pPr>
        <w:pStyle w:val="BodyText"/>
        <w:spacing w:line="259" w:lineRule="auto"/>
        <w:ind w:left="120" w:right="117"/>
        <w:jc w:val="both"/>
      </w:pPr>
      <w:r>
        <w:t>There are two local boards serving the State of Nevada. Nevadaworks serves the northern part of the State and Workforce Connections the four southern counties. Both Boards continue to</w:t>
      </w:r>
      <w:r>
        <w:rPr>
          <w:spacing w:val="-29"/>
        </w:rPr>
        <w:t xml:space="preserve"> </w:t>
      </w:r>
      <w:r>
        <w:t>expand their activities. During the program year 2018</w:t>
      </w:r>
      <w:r w:rsidR="00346EEF">
        <w:t>,</w:t>
      </w:r>
      <w:r>
        <w:t xml:space="preserve"> Nevadaworks opened their comprehensive One- Stop</w:t>
      </w:r>
      <w:r>
        <w:rPr>
          <w:spacing w:val="-14"/>
        </w:rPr>
        <w:t xml:space="preserve"> </w:t>
      </w:r>
      <w:r>
        <w:t>American</w:t>
      </w:r>
      <w:r>
        <w:rPr>
          <w:spacing w:val="-14"/>
        </w:rPr>
        <w:t xml:space="preserve"> </w:t>
      </w:r>
      <w:r>
        <w:t>Job</w:t>
      </w:r>
      <w:r>
        <w:rPr>
          <w:spacing w:val="-14"/>
        </w:rPr>
        <w:t xml:space="preserve"> </w:t>
      </w:r>
      <w:r>
        <w:t>Center.</w:t>
      </w:r>
      <w:r>
        <w:rPr>
          <w:spacing w:val="31"/>
        </w:rPr>
        <w:t xml:space="preserve"> </w:t>
      </w:r>
      <w:r>
        <w:t>Workforce</w:t>
      </w:r>
      <w:r>
        <w:rPr>
          <w:spacing w:val="-15"/>
        </w:rPr>
        <w:t xml:space="preserve"> </w:t>
      </w:r>
      <w:r>
        <w:t>Connections</w:t>
      </w:r>
      <w:r>
        <w:rPr>
          <w:spacing w:val="-14"/>
        </w:rPr>
        <w:t xml:space="preserve"> </w:t>
      </w:r>
      <w:r>
        <w:t>initiated</w:t>
      </w:r>
      <w:r>
        <w:rPr>
          <w:spacing w:val="-14"/>
        </w:rPr>
        <w:t xml:space="preserve"> </w:t>
      </w:r>
      <w:r>
        <w:t>a</w:t>
      </w:r>
      <w:r>
        <w:rPr>
          <w:spacing w:val="-15"/>
        </w:rPr>
        <w:t xml:space="preserve"> </w:t>
      </w:r>
      <w:r>
        <w:t>program</w:t>
      </w:r>
      <w:r>
        <w:rPr>
          <w:spacing w:val="-14"/>
        </w:rPr>
        <w:t xml:space="preserve"> </w:t>
      </w:r>
      <w:r>
        <w:t>to</w:t>
      </w:r>
      <w:r>
        <w:rPr>
          <w:spacing w:val="-14"/>
        </w:rPr>
        <w:t xml:space="preserve"> </w:t>
      </w:r>
      <w:r>
        <w:t>provide</w:t>
      </w:r>
      <w:r>
        <w:rPr>
          <w:spacing w:val="-15"/>
        </w:rPr>
        <w:t xml:space="preserve"> </w:t>
      </w:r>
      <w:r>
        <w:t>services</w:t>
      </w:r>
      <w:r>
        <w:rPr>
          <w:spacing w:val="-14"/>
        </w:rPr>
        <w:t xml:space="preserve"> </w:t>
      </w:r>
      <w:r>
        <w:t>at</w:t>
      </w:r>
      <w:r>
        <w:rPr>
          <w:spacing w:val="-14"/>
        </w:rPr>
        <w:t xml:space="preserve"> </w:t>
      </w:r>
      <w:r>
        <w:t>local area</w:t>
      </w:r>
      <w:r>
        <w:rPr>
          <w:spacing w:val="-8"/>
        </w:rPr>
        <w:t xml:space="preserve"> </w:t>
      </w:r>
      <w:r>
        <w:t>libraries</w:t>
      </w:r>
      <w:r>
        <w:rPr>
          <w:spacing w:val="-7"/>
        </w:rPr>
        <w:t xml:space="preserve"> </w:t>
      </w:r>
      <w:r>
        <w:t>and</w:t>
      </w:r>
      <w:r>
        <w:rPr>
          <w:spacing w:val="-10"/>
        </w:rPr>
        <w:t xml:space="preserve"> </w:t>
      </w:r>
      <w:r>
        <w:t>targeted</w:t>
      </w:r>
      <w:r>
        <w:rPr>
          <w:spacing w:val="-10"/>
        </w:rPr>
        <w:t xml:space="preserve"> </w:t>
      </w:r>
      <w:r>
        <w:t>funding</w:t>
      </w:r>
      <w:r>
        <w:rPr>
          <w:spacing w:val="-12"/>
        </w:rPr>
        <w:t xml:space="preserve"> </w:t>
      </w:r>
      <w:r>
        <w:t>to</w:t>
      </w:r>
      <w:r>
        <w:rPr>
          <w:spacing w:val="-7"/>
        </w:rPr>
        <w:t xml:space="preserve"> </w:t>
      </w:r>
      <w:r>
        <w:t>serve</w:t>
      </w:r>
      <w:r>
        <w:rPr>
          <w:spacing w:val="-8"/>
        </w:rPr>
        <w:t xml:space="preserve"> </w:t>
      </w:r>
      <w:r>
        <w:t>the</w:t>
      </w:r>
      <w:r>
        <w:rPr>
          <w:spacing w:val="-8"/>
        </w:rPr>
        <w:t xml:space="preserve"> </w:t>
      </w:r>
      <w:r>
        <w:t>foster</w:t>
      </w:r>
      <w:r>
        <w:rPr>
          <w:spacing w:val="-6"/>
        </w:rPr>
        <w:t xml:space="preserve"> </w:t>
      </w:r>
      <w:r>
        <w:t>youth</w:t>
      </w:r>
      <w:r>
        <w:rPr>
          <w:spacing w:val="-7"/>
        </w:rPr>
        <w:t xml:space="preserve"> </w:t>
      </w:r>
      <w:r>
        <w:t>and</w:t>
      </w:r>
      <w:r>
        <w:rPr>
          <w:spacing w:val="-7"/>
        </w:rPr>
        <w:t xml:space="preserve"> </w:t>
      </w:r>
      <w:r>
        <w:t>re-entry</w:t>
      </w:r>
      <w:r>
        <w:rPr>
          <w:spacing w:val="-14"/>
        </w:rPr>
        <w:t xml:space="preserve"> </w:t>
      </w:r>
      <w:r>
        <w:t>populations.</w:t>
      </w:r>
      <w:r>
        <w:rPr>
          <w:spacing w:val="45"/>
        </w:rPr>
        <w:t xml:space="preserve"> </w:t>
      </w:r>
      <w:r>
        <w:t>Local</w:t>
      </w:r>
      <w:r>
        <w:rPr>
          <w:spacing w:val="-7"/>
        </w:rPr>
        <w:t xml:space="preserve"> </w:t>
      </w:r>
      <w:r>
        <w:t>Board activities are described in detail in the report</w:t>
      </w:r>
      <w:r>
        <w:rPr>
          <w:spacing w:val="-2"/>
        </w:rPr>
        <w:t xml:space="preserve"> </w:t>
      </w:r>
      <w:r>
        <w:t>appendices.</w:t>
      </w:r>
    </w:p>
    <w:p w:rsidR="0035243B" w:rsidRDefault="00F12572" w:rsidP="0035243B">
      <w:pPr>
        <w:pStyle w:val="BodyText"/>
        <w:keepNext/>
        <w:tabs>
          <w:tab w:val="left" w:pos="5820"/>
        </w:tabs>
        <w:spacing w:line="259" w:lineRule="auto"/>
        <w:ind w:left="120" w:right="117"/>
        <w:jc w:val="both"/>
      </w:pPr>
      <w:r>
        <w:object w:dxaOrig="1541" w:dyaOrig="997">
          <v:shape id="_x0000_i1035" type="#_x0000_t75" alt="Nevadaworks WIOA Annual Report Document" style="width:77.25pt;height:49.5pt" o:ole="">
            <v:imagedata r:id="rId17" o:title=""/>
          </v:shape>
          <o:OLEObject Type="Embed" ProgID="Acrobat.Document.2017" ShapeID="_x0000_i1035" DrawAspect="Icon" ObjectID="_1638875876" r:id="rId18"/>
        </w:object>
      </w:r>
    </w:p>
    <w:p w:rsidR="0035243B" w:rsidRDefault="0035243B" w:rsidP="0035243B">
      <w:pPr>
        <w:pStyle w:val="Caption"/>
        <w:jc w:val="both"/>
      </w:pPr>
      <w:r>
        <w:t xml:space="preserve">Figure </w:t>
      </w:r>
      <w:r w:rsidR="00B8762B">
        <w:fldChar w:fldCharType="begin"/>
      </w:r>
      <w:r w:rsidR="00B8762B">
        <w:instrText xml:space="preserve"> SEQ Figure \* ARABIC </w:instrText>
      </w:r>
      <w:r w:rsidR="00B8762B">
        <w:fldChar w:fldCharType="separate"/>
      </w:r>
      <w:r w:rsidR="00974094">
        <w:rPr>
          <w:noProof/>
        </w:rPr>
        <w:t>2</w:t>
      </w:r>
      <w:r w:rsidR="00B8762B">
        <w:rPr>
          <w:noProof/>
        </w:rPr>
        <w:fldChar w:fldCharType="end"/>
      </w:r>
      <w:r>
        <w:t>- Nevadaworks WIOA Annual Report PDF document</w:t>
      </w:r>
    </w:p>
    <w:p w:rsidR="00974094" w:rsidRDefault="00F12572" w:rsidP="00974094">
      <w:pPr>
        <w:pStyle w:val="BodyText"/>
        <w:keepNext/>
        <w:tabs>
          <w:tab w:val="left" w:pos="5820"/>
        </w:tabs>
        <w:spacing w:line="259" w:lineRule="auto"/>
        <w:ind w:left="120" w:right="117"/>
        <w:jc w:val="both"/>
      </w:pPr>
      <w:r>
        <w:object w:dxaOrig="1541" w:dyaOrig="997">
          <v:shape id="_x0000_i1032" type="#_x0000_t75" alt="Annual Report PY2018 Workforce Connection PDF document" style="width:77.25pt;height:49.5pt" o:ole="">
            <v:imagedata r:id="rId19" o:title=""/>
          </v:shape>
          <o:OLEObject Type="Embed" ProgID="Acrobat.Document.2017" ShapeID="_x0000_i1032" DrawAspect="Icon" ObjectID="_1638875877" r:id="rId20"/>
        </w:object>
      </w:r>
    </w:p>
    <w:p w:rsidR="00974094" w:rsidRDefault="00974094" w:rsidP="00974094">
      <w:pPr>
        <w:pStyle w:val="Caption"/>
        <w:jc w:val="both"/>
      </w:pPr>
      <w:r>
        <w:t xml:space="preserve">Figure </w:t>
      </w:r>
      <w:r w:rsidR="00B8762B">
        <w:fldChar w:fldCharType="begin"/>
      </w:r>
      <w:r w:rsidR="00B8762B">
        <w:instrText xml:space="preserve"> SEQ Figure \* ARABIC </w:instrText>
      </w:r>
      <w:r w:rsidR="00B8762B">
        <w:fldChar w:fldCharType="separate"/>
      </w:r>
      <w:r>
        <w:rPr>
          <w:noProof/>
        </w:rPr>
        <w:t>3</w:t>
      </w:r>
      <w:r w:rsidR="00B8762B">
        <w:rPr>
          <w:noProof/>
        </w:rPr>
        <w:fldChar w:fldCharType="end"/>
      </w:r>
      <w:r>
        <w:t>- Annual Report PY2018 WorkforceConnections PDF</w:t>
      </w:r>
    </w:p>
    <w:p w:rsidR="00FC06D1" w:rsidRDefault="00853403" w:rsidP="00853403">
      <w:pPr>
        <w:pStyle w:val="BodyText"/>
        <w:tabs>
          <w:tab w:val="left" w:pos="5820"/>
        </w:tabs>
        <w:spacing w:line="259" w:lineRule="auto"/>
        <w:ind w:left="120" w:right="117"/>
        <w:jc w:val="both"/>
      </w:pPr>
      <w:r>
        <w:tab/>
      </w:r>
    </w:p>
    <w:sectPr w:rsidR="00FC06D1" w:rsidSect="00B917EC">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62B" w:rsidRDefault="00B8762B" w:rsidP="002821E5">
      <w:r>
        <w:separator/>
      </w:r>
    </w:p>
  </w:endnote>
  <w:endnote w:type="continuationSeparator" w:id="0">
    <w:p w:rsidR="00B8762B" w:rsidRDefault="00B8762B" w:rsidP="00282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1E5" w:rsidRDefault="002821E5">
    <w:pPr>
      <w:pStyle w:val="Footer"/>
      <w:tabs>
        <w:tab w:val="clear" w:pos="4680"/>
        <w:tab w:val="clear" w:pos="9360"/>
      </w:tabs>
      <w:jc w:val="center"/>
      <w:rPr>
        <w:caps/>
        <w:noProof/>
        <w:color w:val="4F81BD" w:themeColor="accent1"/>
      </w:rPr>
    </w:pPr>
    <w:r w:rsidRPr="00F12572">
      <w:rPr>
        <w:caps/>
      </w:rPr>
      <w:fldChar w:fldCharType="begin"/>
    </w:r>
    <w:r w:rsidRPr="00F12572">
      <w:rPr>
        <w:caps/>
      </w:rPr>
      <w:instrText xml:space="preserve"> PAGE   \* MERGEFORMAT </w:instrText>
    </w:r>
    <w:r w:rsidRPr="00F12572">
      <w:rPr>
        <w:caps/>
      </w:rPr>
      <w:fldChar w:fldCharType="separate"/>
    </w:r>
    <w:r w:rsidRPr="00F12572">
      <w:rPr>
        <w:caps/>
        <w:noProof/>
      </w:rPr>
      <w:t>2</w:t>
    </w:r>
    <w:r w:rsidRPr="00F12572">
      <w:rPr>
        <w:caps/>
        <w:noProof/>
      </w:rPr>
      <w:fldChar w:fldCharType="end"/>
    </w:r>
  </w:p>
  <w:p w:rsidR="002821E5" w:rsidRDefault="00282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407617"/>
      <w:docPartObj>
        <w:docPartGallery w:val="Page Numbers (Bottom of Page)"/>
        <w:docPartUnique/>
      </w:docPartObj>
    </w:sdtPr>
    <w:sdtEndPr>
      <w:rPr>
        <w:noProof/>
      </w:rPr>
    </w:sdtEndPr>
    <w:sdtContent>
      <w:p w:rsidR="007B0B62" w:rsidRDefault="007B0B62">
        <w:pPr>
          <w:pStyle w:val="Footer"/>
          <w:jc w:val="right"/>
        </w:pPr>
        <w:r>
          <w:fldChar w:fldCharType="begin"/>
        </w:r>
        <w:r>
          <w:instrText xml:space="preserve"> PAGE   \* MERGEFORMAT </w:instrText>
        </w:r>
        <w:r>
          <w:fldChar w:fldCharType="separate"/>
        </w:r>
        <w:r w:rsidR="0090205A">
          <w:rPr>
            <w:noProof/>
          </w:rPr>
          <w:t>1</w:t>
        </w:r>
        <w:r>
          <w:rPr>
            <w:noProof/>
          </w:rPr>
          <w:fldChar w:fldCharType="end"/>
        </w:r>
      </w:p>
    </w:sdtContent>
  </w:sdt>
  <w:p w:rsidR="002821E5" w:rsidRDefault="00282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707889"/>
      <w:docPartObj>
        <w:docPartGallery w:val="Page Numbers (Bottom of Page)"/>
        <w:docPartUnique/>
      </w:docPartObj>
    </w:sdtPr>
    <w:sdtEndPr>
      <w:rPr>
        <w:noProof/>
      </w:rPr>
    </w:sdtEndPr>
    <w:sdtContent>
      <w:p w:rsidR="007B0B62" w:rsidRDefault="007B0B62">
        <w:pPr>
          <w:pStyle w:val="Footer"/>
          <w:jc w:val="right"/>
        </w:pPr>
        <w:r>
          <w:fldChar w:fldCharType="begin"/>
        </w:r>
        <w:r>
          <w:instrText xml:space="preserve"> PAGE   \* MERGEFORMAT </w:instrText>
        </w:r>
        <w:r>
          <w:fldChar w:fldCharType="separate"/>
        </w:r>
        <w:r w:rsidR="008E16C5">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62B" w:rsidRDefault="00B8762B" w:rsidP="002821E5">
      <w:r>
        <w:separator/>
      </w:r>
    </w:p>
  </w:footnote>
  <w:footnote w:type="continuationSeparator" w:id="0">
    <w:p w:rsidR="00B8762B" w:rsidRDefault="00B8762B" w:rsidP="00282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97C7D"/>
    <w:multiLevelType w:val="hybridMultilevel"/>
    <w:tmpl w:val="46220B54"/>
    <w:lvl w:ilvl="0" w:tplc="036EFF6A">
      <w:numFmt w:val="bullet"/>
      <w:lvlText w:val="•"/>
      <w:lvlJc w:val="left"/>
      <w:pPr>
        <w:ind w:left="840" w:hanging="720"/>
      </w:pPr>
      <w:rPr>
        <w:rFonts w:ascii="Times New Roman" w:eastAsia="Times New Roman" w:hAnsi="Times New Roman" w:cs="Times New Roman" w:hint="default"/>
        <w:w w:val="99"/>
        <w:sz w:val="24"/>
        <w:szCs w:val="24"/>
        <w:lang w:val="en-US" w:eastAsia="en-US" w:bidi="en-US"/>
      </w:rPr>
    </w:lvl>
    <w:lvl w:ilvl="1" w:tplc="2F08CA04">
      <w:numFmt w:val="bullet"/>
      <w:lvlText w:val="•"/>
      <w:lvlJc w:val="left"/>
      <w:pPr>
        <w:ind w:left="1716" w:hanging="720"/>
      </w:pPr>
      <w:rPr>
        <w:rFonts w:hint="default"/>
        <w:lang w:val="en-US" w:eastAsia="en-US" w:bidi="en-US"/>
      </w:rPr>
    </w:lvl>
    <w:lvl w:ilvl="2" w:tplc="A232DC2E">
      <w:numFmt w:val="bullet"/>
      <w:lvlText w:val="•"/>
      <w:lvlJc w:val="left"/>
      <w:pPr>
        <w:ind w:left="2592" w:hanging="720"/>
      </w:pPr>
      <w:rPr>
        <w:rFonts w:hint="default"/>
        <w:lang w:val="en-US" w:eastAsia="en-US" w:bidi="en-US"/>
      </w:rPr>
    </w:lvl>
    <w:lvl w:ilvl="3" w:tplc="5A04D8FE">
      <w:numFmt w:val="bullet"/>
      <w:lvlText w:val="•"/>
      <w:lvlJc w:val="left"/>
      <w:pPr>
        <w:ind w:left="3468" w:hanging="720"/>
      </w:pPr>
      <w:rPr>
        <w:rFonts w:hint="default"/>
        <w:lang w:val="en-US" w:eastAsia="en-US" w:bidi="en-US"/>
      </w:rPr>
    </w:lvl>
    <w:lvl w:ilvl="4" w:tplc="1830594C">
      <w:numFmt w:val="bullet"/>
      <w:lvlText w:val="•"/>
      <w:lvlJc w:val="left"/>
      <w:pPr>
        <w:ind w:left="4344" w:hanging="720"/>
      </w:pPr>
      <w:rPr>
        <w:rFonts w:hint="default"/>
        <w:lang w:val="en-US" w:eastAsia="en-US" w:bidi="en-US"/>
      </w:rPr>
    </w:lvl>
    <w:lvl w:ilvl="5" w:tplc="0D2A6BCA">
      <w:numFmt w:val="bullet"/>
      <w:lvlText w:val="•"/>
      <w:lvlJc w:val="left"/>
      <w:pPr>
        <w:ind w:left="5220" w:hanging="720"/>
      </w:pPr>
      <w:rPr>
        <w:rFonts w:hint="default"/>
        <w:lang w:val="en-US" w:eastAsia="en-US" w:bidi="en-US"/>
      </w:rPr>
    </w:lvl>
    <w:lvl w:ilvl="6" w:tplc="B63EE5AE">
      <w:numFmt w:val="bullet"/>
      <w:lvlText w:val="•"/>
      <w:lvlJc w:val="left"/>
      <w:pPr>
        <w:ind w:left="6096" w:hanging="720"/>
      </w:pPr>
      <w:rPr>
        <w:rFonts w:hint="default"/>
        <w:lang w:val="en-US" w:eastAsia="en-US" w:bidi="en-US"/>
      </w:rPr>
    </w:lvl>
    <w:lvl w:ilvl="7" w:tplc="F31639C0">
      <w:numFmt w:val="bullet"/>
      <w:lvlText w:val="•"/>
      <w:lvlJc w:val="left"/>
      <w:pPr>
        <w:ind w:left="6972" w:hanging="720"/>
      </w:pPr>
      <w:rPr>
        <w:rFonts w:hint="default"/>
        <w:lang w:val="en-US" w:eastAsia="en-US" w:bidi="en-US"/>
      </w:rPr>
    </w:lvl>
    <w:lvl w:ilvl="8" w:tplc="00D444E2">
      <w:numFmt w:val="bullet"/>
      <w:lvlText w:val="•"/>
      <w:lvlJc w:val="left"/>
      <w:pPr>
        <w:ind w:left="7848" w:hanging="720"/>
      </w:pPr>
      <w:rPr>
        <w:rFonts w:hint="default"/>
        <w:lang w:val="en-US" w:eastAsia="en-US" w:bidi="en-US"/>
      </w:rPr>
    </w:lvl>
  </w:abstractNum>
  <w:abstractNum w:abstractNumId="1" w15:restartNumberingAfterBreak="0">
    <w:nsid w:val="207D1371"/>
    <w:multiLevelType w:val="hybridMultilevel"/>
    <w:tmpl w:val="23FE181E"/>
    <w:lvl w:ilvl="0" w:tplc="B2667D22">
      <w:start w:val="1"/>
      <w:numFmt w:val="decimal"/>
      <w:lvlText w:val="(%1)"/>
      <w:lvlJc w:val="left"/>
      <w:pPr>
        <w:ind w:left="120" w:hanging="720"/>
      </w:pPr>
      <w:rPr>
        <w:rFonts w:ascii="Times New Roman" w:eastAsia="Times New Roman" w:hAnsi="Times New Roman" w:cs="Times New Roman" w:hint="default"/>
        <w:spacing w:val="-30"/>
        <w:w w:val="99"/>
        <w:sz w:val="24"/>
        <w:szCs w:val="24"/>
        <w:lang w:val="en-US" w:eastAsia="en-US" w:bidi="en-US"/>
      </w:rPr>
    </w:lvl>
    <w:lvl w:ilvl="1" w:tplc="00E6B63E">
      <w:numFmt w:val="bullet"/>
      <w:lvlText w:val="•"/>
      <w:lvlJc w:val="left"/>
      <w:pPr>
        <w:ind w:left="1068" w:hanging="720"/>
      </w:pPr>
      <w:rPr>
        <w:rFonts w:hint="default"/>
        <w:lang w:val="en-US" w:eastAsia="en-US" w:bidi="en-US"/>
      </w:rPr>
    </w:lvl>
    <w:lvl w:ilvl="2" w:tplc="0540A2FA">
      <w:numFmt w:val="bullet"/>
      <w:lvlText w:val="•"/>
      <w:lvlJc w:val="left"/>
      <w:pPr>
        <w:ind w:left="2016" w:hanging="720"/>
      </w:pPr>
      <w:rPr>
        <w:rFonts w:hint="default"/>
        <w:lang w:val="en-US" w:eastAsia="en-US" w:bidi="en-US"/>
      </w:rPr>
    </w:lvl>
    <w:lvl w:ilvl="3" w:tplc="03E6D8C4">
      <w:numFmt w:val="bullet"/>
      <w:lvlText w:val="•"/>
      <w:lvlJc w:val="left"/>
      <w:pPr>
        <w:ind w:left="2964" w:hanging="720"/>
      </w:pPr>
      <w:rPr>
        <w:rFonts w:hint="default"/>
        <w:lang w:val="en-US" w:eastAsia="en-US" w:bidi="en-US"/>
      </w:rPr>
    </w:lvl>
    <w:lvl w:ilvl="4" w:tplc="7708FC08">
      <w:numFmt w:val="bullet"/>
      <w:lvlText w:val="•"/>
      <w:lvlJc w:val="left"/>
      <w:pPr>
        <w:ind w:left="3912" w:hanging="720"/>
      </w:pPr>
      <w:rPr>
        <w:rFonts w:hint="default"/>
        <w:lang w:val="en-US" w:eastAsia="en-US" w:bidi="en-US"/>
      </w:rPr>
    </w:lvl>
    <w:lvl w:ilvl="5" w:tplc="6E0E999E">
      <w:numFmt w:val="bullet"/>
      <w:lvlText w:val="•"/>
      <w:lvlJc w:val="left"/>
      <w:pPr>
        <w:ind w:left="4860" w:hanging="720"/>
      </w:pPr>
      <w:rPr>
        <w:rFonts w:hint="default"/>
        <w:lang w:val="en-US" w:eastAsia="en-US" w:bidi="en-US"/>
      </w:rPr>
    </w:lvl>
    <w:lvl w:ilvl="6" w:tplc="B36482D2">
      <w:numFmt w:val="bullet"/>
      <w:lvlText w:val="•"/>
      <w:lvlJc w:val="left"/>
      <w:pPr>
        <w:ind w:left="5808" w:hanging="720"/>
      </w:pPr>
      <w:rPr>
        <w:rFonts w:hint="default"/>
        <w:lang w:val="en-US" w:eastAsia="en-US" w:bidi="en-US"/>
      </w:rPr>
    </w:lvl>
    <w:lvl w:ilvl="7" w:tplc="115EC170">
      <w:numFmt w:val="bullet"/>
      <w:lvlText w:val="•"/>
      <w:lvlJc w:val="left"/>
      <w:pPr>
        <w:ind w:left="6756" w:hanging="720"/>
      </w:pPr>
      <w:rPr>
        <w:rFonts w:hint="default"/>
        <w:lang w:val="en-US" w:eastAsia="en-US" w:bidi="en-US"/>
      </w:rPr>
    </w:lvl>
    <w:lvl w:ilvl="8" w:tplc="69ECEB58">
      <w:numFmt w:val="bullet"/>
      <w:lvlText w:val="•"/>
      <w:lvlJc w:val="left"/>
      <w:pPr>
        <w:ind w:left="7704" w:hanging="720"/>
      </w:pPr>
      <w:rPr>
        <w:rFonts w:hint="default"/>
        <w:lang w:val="en-US" w:eastAsia="en-US" w:bidi="en-US"/>
      </w:rPr>
    </w:lvl>
  </w:abstractNum>
  <w:abstractNum w:abstractNumId="2" w15:restartNumberingAfterBreak="0">
    <w:nsid w:val="74F47B1B"/>
    <w:multiLevelType w:val="hybridMultilevel"/>
    <w:tmpl w:val="F940A97C"/>
    <w:lvl w:ilvl="0" w:tplc="7E0E61A0">
      <w:start w:val="1"/>
      <w:numFmt w:val="decimal"/>
      <w:lvlText w:val="(%1)"/>
      <w:lvlJc w:val="left"/>
      <w:pPr>
        <w:ind w:left="120" w:hanging="720"/>
      </w:pPr>
      <w:rPr>
        <w:rFonts w:ascii="Times New Roman" w:eastAsia="Times New Roman" w:hAnsi="Times New Roman" w:cs="Times New Roman" w:hint="default"/>
        <w:spacing w:val="-12"/>
        <w:w w:val="99"/>
        <w:sz w:val="24"/>
        <w:szCs w:val="24"/>
        <w:lang w:val="en-US" w:eastAsia="en-US" w:bidi="en-US"/>
      </w:rPr>
    </w:lvl>
    <w:lvl w:ilvl="1" w:tplc="A82404F0">
      <w:numFmt w:val="bullet"/>
      <w:lvlText w:val="•"/>
      <w:lvlJc w:val="left"/>
      <w:pPr>
        <w:ind w:left="1068" w:hanging="720"/>
      </w:pPr>
      <w:rPr>
        <w:rFonts w:hint="default"/>
        <w:lang w:val="en-US" w:eastAsia="en-US" w:bidi="en-US"/>
      </w:rPr>
    </w:lvl>
    <w:lvl w:ilvl="2" w:tplc="E8DCE8F8">
      <w:numFmt w:val="bullet"/>
      <w:lvlText w:val="•"/>
      <w:lvlJc w:val="left"/>
      <w:pPr>
        <w:ind w:left="2016" w:hanging="720"/>
      </w:pPr>
      <w:rPr>
        <w:rFonts w:hint="default"/>
        <w:lang w:val="en-US" w:eastAsia="en-US" w:bidi="en-US"/>
      </w:rPr>
    </w:lvl>
    <w:lvl w:ilvl="3" w:tplc="03066A2E">
      <w:numFmt w:val="bullet"/>
      <w:lvlText w:val="•"/>
      <w:lvlJc w:val="left"/>
      <w:pPr>
        <w:ind w:left="2964" w:hanging="720"/>
      </w:pPr>
      <w:rPr>
        <w:rFonts w:hint="default"/>
        <w:lang w:val="en-US" w:eastAsia="en-US" w:bidi="en-US"/>
      </w:rPr>
    </w:lvl>
    <w:lvl w:ilvl="4" w:tplc="F95E448E">
      <w:numFmt w:val="bullet"/>
      <w:lvlText w:val="•"/>
      <w:lvlJc w:val="left"/>
      <w:pPr>
        <w:ind w:left="3912" w:hanging="720"/>
      </w:pPr>
      <w:rPr>
        <w:rFonts w:hint="default"/>
        <w:lang w:val="en-US" w:eastAsia="en-US" w:bidi="en-US"/>
      </w:rPr>
    </w:lvl>
    <w:lvl w:ilvl="5" w:tplc="8EB2EE26">
      <w:numFmt w:val="bullet"/>
      <w:lvlText w:val="•"/>
      <w:lvlJc w:val="left"/>
      <w:pPr>
        <w:ind w:left="4860" w:hanging="720"/>
      </w:pPr>
      <w:rPr>
        <w:rFonts w:hint="default"/>
        <w:lang w:val="en-US" w:eastAsia="en-US" w:bidi="en-US"/>
      </w:rPr>
    </w:lvl>
    <w:lvl w:ilvl="6" w:tplc="D0D290B6">
      <w:numFmt w:val="bullet"/>
      <w:lvlText w:val="•"/>
      <w:lvlJc w:val="left"/>
      <w:pPr>
        <w:ind w:left="5808" w:hanging="720"/>
      </w:pPr>
      <w:rPr>
        <w:rFonts w:hint="default"/>
        <w:lang w:val="en-US" w:eastAsia="en-US" w:bidi="en-US"/>
      </w:rPr>
    </w:lvl>
    <w:lvl w:ilvl="7" w:tplc="337EB048">
      <w:numFmt w:val="bullet"/>
      <w:lvlText w:val="•"/>
      <w:lvlJc w:val="left"/>
      <w:pPr>
        <w:ind w:left="6756" w:hanging="720"/>
      </w:pPr>
      <w:rPr>
        <w:rFonts w:hint="default"/>
        <w:lang w:val="en-US" w:eastAsia="en-US" w:bidi="en-US"/>
      </w:rPr>
    </w:lvl>
    <w:lvl w:ilvl="8" w:tplc="6FEC1E54">
      <w:numFmt w:val="bullet"/>
      <w:lvlText w:val="•"/>
      <w:lvlJc w:val="left"/>
      <w:pPr>
        <w:ind w:left="7704" w:hanging="720"/>
      </w:pPr>
      <w:rPr>
        <w:rFonts w:hint="default"/>
        <w:lang w:val="en-US" w:eastAsia="en-US" w:bidi="en-U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37"/>
    <w:rsid w:val="000150B2"/>
    <w:rsid w:val="0003108C"/>
    <w:rsid w:val="00094FF1"/>
    <w:rsid w:val="000E0CA4"/>
    <w:rsid w:val="00135098"/>
    <w:rsid w:val="0018290A"/>
    <w:rsid w:val="001A09CF"/>
    <w:rsid w:val="001B7312"/>
    <w:rsid w:val="001E22D0"/>
    <w:rsid w:val="002553A4"/>
    <w:rsid w:val="002821E5"/>
    <w:rsid w:val="00284E16"/>
    <w:rsid w:val="002C274C"/>
    <w:rsid w:val="002C497D"/>
    <w:rsid w:val="00346EEF"/>
    <w:rsid w:val="0035243B"/>
    <w:rsid w:val="003E4553"/>
    <w:rsid w:val="00500041"/>
    <w:rsid w:val="00517513"/>
    <w:rsid w:val="00584F5A"/>
    <w:rsid w:val="00614BFE"/>
    <w:rsid w:val="006409D4"/>
    <w:rsid w:val="006508C7"/>
    <w:rsid w:val="00665C44"/>
    <w:rsid w:val="006D5CB8"/>
    <w:rsid w:val="007A440E"/>
    <w:rsid w:val="007B0B62"/>
    <w:rsid w:val="007D59A7"/>
    <w:rsid w:val="008140FA"/>
    <w:rsid w:val="00853403"/>
    <w:rsid w:val="00887C9F"/>
    <w:rsid w:val="008B34AE"/>
    <w:rsid w:val="008E16C5"/>
    <w:rsid w:val="0090205A"/>
    <w:rsid w:val="00974094"/>
    <w:rsid w:val="00983A52"/>
    <w:rsid w:val="00A65464"/>
    <w:rsid w:val="00AA6D37"/>
    <w:rsid w:val="00AB1340"/>
    <w:rsid w:val="00AB5BE4"/>
    <w:rsid w:val="00B4171B"/>
    <w:rsid w:val="00B8762B"/>
    <w:rsid w:val="00B917EC"/>
    <w:rsid w:val="00CC1F64"/>
    <w:rsid w:val="00CE28F9"/>
    <w:rsid w:val="00CF388F"/>
    <w:rsid w:val="00D0724C"/>
    <w:rsid w:val="00D205B1"/>
    <w:rsid w:val="00D504E6"/>
    <w:rsid w:val="00D5263A"/>
    <w:rsid w:val="00D60DEB"/>
    <w:rsid w:val="00D96D92"/>
    <w:rsid w:val="00DE4D8A"/>
    <w:rsid w:val="00DE6B66"/>
    <w:rsid w:val="00E25655"/>
    <w:rsid w:val="00E32837"/>
    <w:rsid w:val="00EA766D"/>
    <w:rsid w:val="00EE5581"/>
    <w:rsid w:val="00F12572"/>
    <w:rsid w:val="00F22D47"/>
    <w:rsid w:val="00FC0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6AB91"/>
  <w15:docId w15:val="{D4135B81-B6AB-470B-8A29-4C95E633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2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20"/>
      <w:jc w:val="both"/>
    </w:pPr>
  </w:style>
  <w:style w:type="paragraph" w:customStyle="1" w:styleId="TableParagraph">
    <w:name w:val="Table Paragraph"/>
    <w:basedOn w:val="Normal"/>
    <w:uiPriority w:val="1"/>
    <w:qFormat/>
    <w:pPr>
      <w:spacing w:line="275" w:lineRule="exact"/>
      <w:ind w:left="92"/>
    </w:pPr>
  </w:style>
  <w:style w:type="character" w:customStyle="1" w:styleId="BodyTextChar">
    <w:name w:val="Body Text Char"/>
    <w:basedOn w:val="DefaultParagraphFont"/>
    <w:link w:val="BodyText"/>
    <w:uiPriority w:val="1"/>
    <w:rsid w:val="00FC06D1"/>
    <w:rPr>
      <w:rFonts w:ascii="Times New Roman" w:eastAsia="Times New Roman" w:hAnsi="Times New Roman" w:cs="Times New Roman"/>
      <w:sz w:val="24"/>
      <w:szCs w:val="24"/>
      <w:lang w:bidi="en-US"/>
    </w:rPr>
  </w:style>
  <w:style w:type="paragraph" w:styleId="BalloonText">
    <w:name w:val="Balloon Text"/>
    <w:basedOn w:val="Normal"/>
    <w:link w:val="BalloonTextChar"/>
    <w:uiPriority w:val="99"/>
    <w:semiHidden/>
    <w:unhideWhenUsed/>
    <w:rsid w:val="00FC06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6D1"/>
    <w:rPr>
      <w:rFonts w:ascii="Segoe UI" w:eastAsia="Times New Roman" w:hAnsi="Segoe UI" w:cs="Segoe UI"/>
      <w:sz w:val="18"/>
      <w:szCs w:val="18"/>
      <w:lang w:bidi="en-US"/>
    </w:rPr>
  </w:style>
  <w:style w:type="paragraph" w:styleId="Header">
    <w:name w:val="header"/>
    <w:basedOn w:val="Normal"/>
    <w:link w:val="HeaderChar"/>
    <w:uiPriority w:val="99"/>
    <w:unhideWhenUsed/>
    <w:rsid w:val="002821E5"/>
    <w:pPr>
      <w:tabs>
        <w:tab w:val="center" w:pos="4680"/>
        <w:tab w:val="right" w:pos="9360"/>
      </w:tabs>
    </w:pPr>
  </w:style>
  <w:style w:type="character" w:customStyle="1" w:styleId="HeaderChar">
    <w:name w:val="Header Char"/>
    <w:basedOn w:val="DefaultParagraphFont"/>
    <w:link w:val="Header"/>
    <w:uiPriority w:val="99"/>
    <w:rsid w:val="002821E5"/>
    <w:rPr>
      <w:rFonts w:ascii="Times New Roman" w:eastAsia="Times New Roman" w:hAnsi="Times New Roman" w:cs="Times New Roman"/>
      <w:lang w:bidi="en-US"/>
    </w:rPr>
  </w:style>
  <w:style w:type="paragraph" w:styleId="Footer">
    <w:name w:val="footer"/>
    <w:basedOn w:val="Normal"/>
    <w:link w:val="FooterChar"/>
    <w:uiPriority w:val="99"/>
    <w:unhideWhenUsed/>
    <w:rsid w:val="002821E5"/>
    <w:pPr>
      <w:tabs>
        <w:tab w:val="center" w:pos="4680"/>
        <w:tab w:val="right" w:pos="9360"/>
      </w:tabs>
    </w:pPr>
  </w:style>
  <w:style w:type="character" w:customStyle="1" w:styleId="FooterChar">
    <w:name w:val="Footer Char"/>
    <w:basedOn w:val="DefaultParagraphFont"/>
    <w:link w:val="Footer"/>
    <w:uiPriority w:val="99"/>
    <w:rsid w:val="002821E5"/>
    <w:rPr>
      <w:rFonts w:ascii="Times New Roman" w:eastAsia="Times New Roman" w:hAnsi="Times New Roman" w:cs="Times New Roman"/>
      <w:lang w:bidi="en-US"/>
    </w:rPr>
  </w:style>
  <w:style w:type="paragraph" w:styleId="Caption">
    <w:name w:val="caption"/>
    <w:basedOn w:val="Normal"/>
    <w:next w:val="Normal"/>
    <w:uiPriority w:val="35"/>
    <w:unhideWhenUsed/>
    <w:qFormat/>
    <w:rsid w:val="0035243B"/>
    <w:pPr>
      <w:spacing w:after="200"/>
    </w:pPr>
    <w:rPr>
      <w:i/>
      <w:iCs/>
      <w:color w:val="1F497D" w:themeColor="text2"/>
      <w:sz w:val="18"/>
      <w:szCs w:val="18"/>
    </w:rPr>
  </w:style>
  <w:style w:type="table" w:styleId="TableGrid">
    <w:name w:val="Table Grid"/>
    <w:basedOn w:val="TableNormal"/>
    <w:uiPriority w:val="39"/>
    <w:rsid w:val="00255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4.jpe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9</Pages>
  <Words>3136</Words>
  <Characters>17878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State of Nevada - Department of Employment, Training and Rehabilitation</vt:lpstr>
    </vt:vector>
  </TitlesOfParts>
  <Company/>
  <LinksUpToDate>false</LinksUpToDate>
  <CharactersWithSpaces>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Nevada - Department of Employment, Training and Rehabilitation</dc:title>
  <dc:subject>Annual Narrative 2018 - OWINN</dc:subject>
  <dc:creator>Karlene Johnson</dc:creator>
  <cp:lastModifiedBy>Angelina Lynch</cp:lastModifiedBy>
  <cp:revision>9</cp:revision>
  <dcterms:created xsi:type="dcterms:W3CDTF">2019-11-27T22:47:00Z</dcterms:created>
  <dcterms:modified xsi:type="dcterms:W3CDTF">2019-12-26T22:31:00Z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2019-11-22T00:00:00Z</vt:filetime>
  </property>
  <property fmtid="{D5CDD505-2E9C-101B-9397-08002B2CF9AE}" pid="3" name="Creator">
    <vt:lpwstr>Acrobat PDFMaker 17 for Word</vt:lpwstr>
  </property>
  <property fmtid="{D5CDD505-2E9C-101B-9397-08002B2CF9AE}" pid="4" name="LastSaved">
    <vt:filetime>2019-11-27T00:00:00Z</vt:filetime>
  </property>
</Properties>
</file>