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3C" w:rsidRPr="006073BB" w:rsidRDefault="00F03A3C" w:rsidP="00F03A3C">
      <w:pPr>
        <w:rPr>
          <w:rFonts w:ascii="Arial" w:hAnsi="Arial"/>
          <w:b/>
          <w:u w:val="single"/>
        </w:rPr>
      </w:pPr>
      <w:bookmarkStart w:id="0" w:name="_GoBack"/>
      <w:bookmarkEnd w:id="0"/>
      <w:r w:rsidRPr="006073BB">
        <w:rPr>
          <w:rFonts w:ascii="Arial" w:hAnsi="Arial"/>
          <w:b/>
          <w:u w:val="single"/>
        </w:rPr>
        <w:t>Policy</w:t>
      </w:r>
    </w:p>
    <w:p w:rsidR="00F03A3C" w:rsidRDefault="00F03A3C" w:rsidP="00F03A3C">
      <w:pPr>
        <w:rPr>
          <w:rFonts w:ascii="Arial" w:hAnsi="Arial"/>
        </w:rPr>
      </w:pPr>
    </w:p>
    <w:p w:rsidR="00A7789A" w:rsidRDefault="00F03A3C">
      <w:pPr>
        <w:rPr>
          <w:rFonts w:ascii="Arial" w:hAnsi="Arial" w:cs="Arial"/>
        </w:rPr>
      </w:pPr>
      <w:r>
        <w:rPr>
          <w:rFonts w:ascii="Arial" w:hAnsi="Arial"/>
        </w:rPr>
        <w:t xml:space="preserve">The Bureau of Services to the Blind and Visually Impaired (BSBVI), Business Enterprises of Nevada Program (BEN), </w:t>
      </w:r>
      <w:r w:rsidR="00E521F5">
        <w:rPr>
          <w:rFonts w:ascii="Arial" w:hAnsi="Arial"/>
        </w:rPr>
        <w:t>as approved by the majority of license</w:t>
      </w:r>
      <w:r w:rsidR="00A42A75">
        <w:rPr>
          <w:rFonts w:ascii="Arial" w:hAnsi="Arial"/>
        </w:rPr>
        <w:t>d operators, and approved by a m</w:t>
      </w:r>
      <w:r w:rsidR="00E521F5">
        <w:rPr>
          <w:rFonts w:ascii="Arial" w:hAnsi="Arial"/>
        </w:rPr>
        <w:t xml:space="preserve">ajority of </w:t>
      </w:r>
      <w:r>
        <w:rPr>
          <w:rFonts w:ascii="Arial" w:hAnsi="Arial"/>
        </w:rPr>
        <w:t xml:space="preserve">the Nevada Committee of Blind Vendors (NCBV), has established a Retirement Income Program for all eligible licensed blind operators.  </w:t>
      </w:r>
      <w:r>
        <w:rPr>
          <w:rFonts w:ascii="Arial" w:hAnsi="Arial" w:cs="Arial"/>
        </w:rPr>
        <w:t xml:space="preserve">The Bureau will </w:t>
      </w:r>
      <w:r w:rsidR="00A42A75">
        <w:rPr>
          <w:rFonts w:ascii="Arial" w:hAnsi="Arial" w:cs="Arial"/>
        </w:rPr>
        <w:t xml:space="preserve">distribute </w:t>
      </w:r>
      <w:r>
        <w:rPr>
          <w:rFonts w:ascii="Arial" w:hAnsi="Arial" w:cs="Arial"/>
        </w:rPr>
        <w:t xml:space="preserve">a retirement income benefit to qualifying Operators in the </w:t>
      </w:r>
      <w:r w:rsidR="00642047">
        <w:rPr>
          <w:rFonts w:ascii="Arial" w:hAnsi="Arial" w:cs="Arial"/>
        </w:rPr>
        <w:t xml:space="preserve">minimum </w:t>
      </w:r>
      <w:r>
        <w:rPr>
          <w:rFonts w:ascii="Arial" w:hAnsi="Arial" w:cs="Arial"/>
        </w:rPr>
        <w:t>amount of $9,000 per year</w:t>
      </w:r>
      <w:r w:rsidR="0040442B">
        <w:rPr>
          <w:rFonts w:ascii="Arial" w:hAnsi="Arial" w:cs="Arial"/>
        </w:rPr>
        <w:t>.  A</w:t>
      </w:r>
      <w:r>
        <w:rPr>
          <w:rFonts w:ascii="Arial" w:hAnsi="Arial" w:cs="Arial"/>
        </w:rPr>
        <w:t xml:space="preserve">dditional income </w:t>
      </w:r>
      <w:r w:rsidR="0040442B">
        <w:rPr>
          <w:rFonts w:ascii="Arial" w:hAnsi="Arial" w:cs="Arial"/>
        </w:rPr>
        <w:t xml:space="preserve">may be </w:t>
      </w:r>
      <w:r>
        <w:rPr>
          <w:rFonts w:ascii="Arial" w:hAnsi="Arial" w:cs="Arial"/>
        </w:rPr>
        <w:t>distributed among eligible operators in excess of the base</w:t>
      </w:r>
      <w:r w:rsidR="00D412DD">
        <w:rPr>
          <w:rFonts w:ascii="Arial" w:hAnsi="Arial" w:cs="Arial"/>
        </w:rPr>
        <w:t xml:space="preserve"> reserve </w:t>
      </w:r>
      <w:r w:rsidR="007B42DA">
        <w:rPr>
          <w:rFonts w:ascii="Arial" w:hAnsi="Arial" w:cs="Arial"/>
        </w:rPr>
        <w:t xml:space="preserve">amount as stated in this policy. </w:t>
      </w:r>
      <w:r w:rsidR="003421EC">
        <w:rPr>
          <w:rFonts w:ascii="Arial" w:hAnsi="Arial" w:cs="Arial"/>
        </w:rPr>
        <w:t xml:space="preserve">The </w:t>
      </w:r>
      <w:r w:rsidR="007B42DA">
        <w:rPr>
          <w:rFonts w:ascii="Arial" w:hAnsi="Arial" w:cs="Arial"/>
        </w:rPr>
        <w:t xml:space="preserve">Retirement </w:t>
      </w:r>
      <w:r w:rsidR="00DC2C08">
        <w:rPr>
          <w:rFonts w:ascii="Arial" w:hAnsi="Arial" w:cs="Arial"/>
        </w:rPr>
        <w:t xml:space="preserve">Income </w:t>
      </w:r>
      <w:r w:rsidR="007B42DA">
        <w:rPr>
          <w:rFonts w:ascii="Arial" w:hAnsi="Arial" w:cs="Arial"/>
        </w:rPr>
        <w:t xml:space="preserve">policy is established as pursuant to NAC 426.383 and </w:t>
      </w:r>
      <w:r w:rsidR="00BA5AEF">
        <w:rPr>
          <w:rFonts w:ascii="Arial" w:hAnsi="Arial" w:cs="Arial"/>
        </w:rPr>
        <w:t xml:space="preserve">also </w:t>
      </w:r>
      <w:r w:rsidR="007B42DA">
        <w:rPr>
          <w:rFonts w:ascii="Arial" w:hAnsi="Arial" w:cs="Arial"/>
        </w:rPr>
        <w:t xml:space="preserve">permitted by CFR 34 Part 395.9(b) of the Randolph-Sheppard Act. </w:t>
      </w:r>
    </w:p>
    <w:p w:rsidR="003421EC" w:rsidRDefault="003421EC">
      <w:pPr>
        <w:rPr>
          <w:rFonts w:ascii="Arial" w:hAnsi="Arial" w:cs="Arial"/>
        </w:rPr>
      </w:pPr>
    </w:p>
    <w:p w:rsidR="003421EC" w:rsidRDefault="003421EC" w:rsidP="003421EC">
      <w:pPr>
        <w:rPr>
          <w:rFonts w:ascii="Arial" w:hAnsi="Arial"/>
          <w:b/>
          <w:u w:val="single"/>
        </w:rPr>
      </w:pPr>
      <w:r>
        <w:rPr>
          <w:rFonts w:ascii="Arial" w:hAnsi="Arial"/>
          <w:b/>
          <w:u w:val="single"/>
        </w:rPr>
        <w:t>Determination</w:t>
      </w:r>
    </w:p>
    <w:p w:rsidR="003421EC" w:rsidRDefault="003421EC" w:rsidP="003421EC">
      <w:pPr>
        <w:rPr>
          <w:rFonts w:ascii="Arial" w:hAnsi="Arial"/>
          <w:b/>
          <w:u w:val="single"/>
        </w:rPr>
      </w:pPr>
    </w:p>
    <w:p w:rsidR="003421EC" w:rsidRDefault="003421EC" w:rsidP="003421EC">
      <w:pPr>
        <w:rPr>
          <w:rFonts w:ascii="Arial" w:hAnsi="Arial"/>
        </w:rPr>
      </w:pPr>
      <w:r>
        <w:rPr>
          <w:rFonts w:ascii="Arial" w:hAnsi="Arial"/>
        </w:rPr>
        <w:t xml:space="preserve">The minimum retirement income of $9,000 per state fiscal year is established within this policy and is effective upon approval of this policy.  The annual retirement distribution occurs in January of each year.  If the policy is approved after January, the additional amount over the current $7,000 annual amount will be distributed by the Bureau after the determination that sufficient </w:t>
      </w:r>
      <w:r w:rsidR="000A1EB0">
        <w:rPr>
          <w:rFonts w:ascii="Arial" w:hAnsi="Arial"/>
        </w:rPr>
        <w:t>state budget authority exists.</w:t>
      </w:r>
    </w:p>
    <w:p w:rsidR="00DC2C08" w:rsidRDefault="00DC2C08" w:rsidP="003421EC">
      <w:pPr>
        <w:rPr>
          <w:rFonts w:ascii="Arial" w:hAnsi="Arial"/>
        </w:rPr>
      </w:pPr>
    </w:p>
    <w:p w:rsidR="00DC2C08" w:rsidRPr="00D03C7F" w:rsidRDefault="00DC2C08" w:rsidP="003421EC">
      <w:pPr>
        <w:rPr>
          <w:rFonts w:ascii="Arial" w:hAnsi="Arial"/>
          <w:color w:val="000000"/>
        </w:rPr>
      </w:pPr>
      <w:r w:rsidRPr="00D03C7F">
        <w:rPr>
          <w:rFonts w:ascii="Arial" w:hAnsi="Arial"/>
          <w:color w:val="000000"/>
        </w:rPr>
        <w:t xml:space="preserve">The annual amount for retirement income distribution </w:t>
      </w:r>
      <w:r w:rsidR="00C6155B" w:rsidRPr="00D03C7F">
        <w:rPr>
          <w:rFonts w:ascii="Arial" w:hAnsi="Arial"/>
          <w:color w:val="000000"/>
        </w:rPr>
        <w:t xml:space="preserve">in addition to </w:t>
      </w:r>
      <w:r w:rsidRPr="00D03C7F">
        <w:rPr>
          <w:rFonts w:ascii="Arial" w:hAnsi="Arial"/>
          <w:color w:val="000000"/>
        </w:rPr>
        <w:t xml:space="preserve">the minimum will be determined by April of the preceding year of the start of the biennium and will remain in effect through the biennium.  For example, the amount is to be determined by April 2016 for the SFY18/19 biennial budget request.  This allows for the amount to be included in the biennial budget request and through the legislative process, be approved by the Legislature.  The NCBV Finance Sub-committee will work with the Bureau in determining the amount available for retirement income distribution. The </w:t>
      </w:r>
      <w:r w:rsidR="00634D53" w:rsidRPr="00D03C7F">
        <w:rPr>
          <w:rFonts w:ascii="Arial" w:hAnsi="Arial"/>
          <w:color w:val="000000"/>
        </w:rPr>
        <w:t>NCBV</w:t>
      </w:r>
      <w:r w:rsidRPr="00D03C7F">
        <w:rPr>
          <w:rFonts w:ascii="Arial" w:hAnsi="Arial"/>
          <w:color w:val="000000"/>
        </w:rPr>
        <w:t xml:space="preserve"> will discuss, vote, and call for a vote of the majority of licensed operators to adopt the amount available for distribution in the coming biennium.  </w:t>
      </w:r>
    </w:p>
    <w:p w:rsidR="000A1EB0" w:rsidRPr="00D03C7F" w:rsidRDefault="000A1EB0" w:rsidP="003421EC">
      <w:pPr>
        <w:rPr>
          <w:rFonts w:ascii="Arial" w:hAnsi="Arial"/>
          <w:color w:val="000000"/>
        </w:rPr>
      </w:pPr>
    </w:p>
    <w:p w:rsidR="000A1EB0" w:rsidRPr="00D03C7F" w:rsidRDefault="000A1EB0" w:rsidP="003421EC">
      <w:pPr>
        <w:rPr>
          <w:rFonts w:ascii="Arial" w:hAnsi="Arial"/>
          <w:color w:val="000000"/>
        </w:rPr>
      </w:pPr>
      <w:r w:rsidRPr="00D03C7F">
        <w:rPr>
          <w:rFonts w:ascii="Arial" w:hAnsi="Arial"/>
          <w:color w:val="000000"/>
        </w:rPr>
        <w:t>Th</w:t>
      </w:r>
      <w:r w:rsidR="00787987" w:rsidRPr="00D03C7F">
        <w:rPr>
          <w:rFonts w:ascii="Arial" w:hAnsi="Arial"/>
          <w:color w:val="000000"/>
        </w:rPr>
        <w:t>e annual amount considered as</w:t>
      </w:r>
      <w:r w:rsidRPr="00D03C7F">
        <w:rPr>
          <w:rFonts w:ascii="Arial" w:hAnsi="Arial"/>
          <w:color w:val="000000"/>
        </w:rPr>
        <w:t xml:space="preserve"> additional retirement income distribution will be determined by the following:</w:t>
      </w:r>
    </w:p>
    <w:p w:rsidR="000A1EB0" w:rsidRPr="00D03C7F" w:rsidRDefault="000A1EB0" w:rsidP="000A1EB0">
      <w:pPr>
        <w:numPr>
          <w:ilvl w:val="0"/>
          <w:numId w:val="9"/>
        </w:numPr>
        <w:rPr>
          <w:rFonts w:ascii="Arial" w:hAnsi="Arial"/>
          <w:color w:val="000000"/>
        </w:rPr>
      </w:pPr>
      <w:r w:rsidRPr="00D03C7F">
        <w:rPr>
          <w:rFonts w:ascii="Arial" w:hAnsi="Arial"/>
          <w:color w:val="000000"/>
        </w:rPr>
        <w:t xml:space="preserve">The amount of money </w:t>
      </w:r>
      <w:r w:rsidR="00CC2613" w:rsidRPr="00D03C7F">
        <w:rPr>
          <w:rFonts w:ascii="Arial" w:hAnsi="Arial"/>
          <w:color w:val="000000"/>
        </w:rPr>
        <w:t>in the Business Enterprise Account for Persons Who are Blind</w:t>
      </w:r>
      <w:r w:rsidRPr="00D03C7F">
        <w:rPr>
          <w:rFonts w:ascii="Arial" w:hAnsi="Arial"/>
          <w:color w:val="000000"/>
        </w:rPr>
        <w:t>;</w:t>
      </w:r>
    </w:p>
    <w:p w:rsidR="000A1EB0" w:rsidRPr="00D03C7F" w:rsidRDefault="000A1EB0" w:rsidP="000A1EB0">
      <w:pPr>
        <w:numPr>
          <w:ilvl w:val="0"/>
          <w:numId w:val="9"/>
        </w:numPr>
        <w:rPr>
          <w:rFonts w:ascii="Arial" w:hAnsi="Arial"/>
          <w:color w:val="000000"/>
        </w:rPr>
      </w:pPr>
      <w:r w:rsidRPr="00D03C7F">
        <w:rPr>
          <w:rFonts w:ascii="Arial" w:hAnsi="Arial"/>
          <w:color w:val="000000"/>
        </w:rPr>
        <w:t xml:space="preserve">The </w:t>
      </w:r>
      <w:r w:rsidR="00CC2613" w:rsidRPr="00D03C7F">
        <w:rPr>
          <w:rFonts w:ascii="Arial" w:hAnsi="Arial"/>
          <w:color w:val="000000"/>
        </w:rPr>
        <w:t>current and projected expenses of the Bureau and other required uses of the money</w:t>
      </w:r>
      <w:r w:rsidRPr="00D03C7F">
        <w:rPr>
          <w:rFonts w:ascii="Arial" w:hAnsi="Arial"/>
          <w:color w:val="000000"/>
        </w:rPr>
        <w:t>;</w:t>
      </w:r>
    </w:p>
    <w:p w:rsidR="000A1EB0" w:rsidRPr="00D03C7F" w:rsidRDefault="000A1EB0" w:rsidP="000A1EB0">
      <w:pPr>
        <w:numPr>
          <w:ilvl w:val="0"/>
          <w:numId w:val="9"/>
        </w:numPr>
        <w:rPr>
          <w:rFonts w:ascii="Arial" w:hAnsi="Arial"/>
          <w:color w:val="000000"/>
        </w:rPr>
      </w:pPr>
      <w:r w:rsidRPr="00D03C7F">
        <w:rPr>
          <w:rFonts w:ascii="Arial" w:hAnsi="Arial"/>
          <w:color w:val="000000"/>
        </w:rPr>
        <w:t xml:space="preserve">Any reserves which the Bureau determines it must maintain; </w:t>
      </w:r>
      <w:r w:rsidR="00B44AE6" w:rsidRPr="00D03C7F">
        <w:rPr>
          <w:rFonts w:ascii="Arial" w:hAnsi="Arial"/>
          <w:color w:val="000000"/>
        </w:rPr>
        <w:t>and</w:t>
      </w:r>
    </w:p>
    <w:p w:rsidR="00651603" w:rsidRPr="00D03C7F" w:rsidRDefault="000A1EB0" w:rsidP="00651603">
      <w:pPr>
        <w:numPr>
          <w:ilvl w:val="0"/>
          <w:numId w:val="9"/>
        </w:numPr>
        <w:rPr>
          <w:rFonts w:ascii="Arial" w:hAnsi="Arial"/>
          <w:color w:val="000000"/>
        </w:rPr>
      </w:pPr>
      <w:r w:rsidRPr="00D03C7F">
        <w:rPr>
          <w:rFonts w:ascii="Arial" w:hAnsi="Arial"/>
          <w:color w:val="000000"/>
        </w:rPr>
        <w:t>The number of operators who are anticipated to be eligible to receive</w:t>
      </w:r>
      <w:r w:rsidR="00CC2613" w:rsidRPr="00D03C7F">
        <w:rPr>
          <w:rFonts w:ascii="Arial" w:hAnsi="Arial"/>
          <w:color w:val="000000"/>
        </w:rPr>
        <w:t xml:space="preserve"> a retirement income benefit</w:t>
      </w:r>
      <w:r w:rsidR="00C6155B" w:rsidRPr="00D03C7F">
        <w:rPr>
          <w:rFonts w:ascii="Arial" w:hAnsi="Arial"/>
          <w:color w:val="000000"/>
        </w:rPr>
        <w:t xml:space="preserve">; </w:t>
      </w:r>
    </w:p>
    <w:p w:rsidR="0053319B" w:rsidRDefault="0053319B" w:rsidP="0053319B">
      <w:pPr>
        <w:rPr>
          <w:rFonts w:ascii="Arial" w:hAnsi="Arial" w:cs="Arial"/>
        </w:rPr>
      </w:pPr>
    </w:p>
    <w:p w:rsidR="00B905DE" w:rsidRDefault="0053319B" w:rsidP="003421EC">
      <w:pPr>
        <w:rPr>
          <w:rFonts w:ascii="Arial" w:hAnsi="Arial" w:cs="Arial"/>
        </w:rPr>
      </w:pPr>
      <w:r>
        <w:rPr>
          <w:rFonts w:ascii="Arial" w:hAnsi="Arial" w:cs="Arial"/>
        </w:rPr>
        <w:t>BEN Base Reserve Amount is to equal to $3,</w:t>
      </w:r>
      <w:r w:rsidR="00C673C5">
        <w:rPr>
          <w:rFonts w:ascii="Arial" w:hAnsi="Arial" w:cs="Arial"/>
        </w:rPr>
        <w:t>0</w:t>
      </w:r>
      <w:r>
        <w:rPr>
          <w:rFonts w:ascii="Arial" w:hAnsi="Arial" w:cs="Arial"/>
        </w:rPr>
        <w:t xml:space="preserve">00,000 to ensure the health of the Business Enterprises of Nevada program. </w:t>
      </w:r>
    </w:p>
    <w:p w:rsidR="00B905DE" w:rsidRDefault="00B905DE" w:rsidP="003421EC">
      <w:pPr>
        <w:rPr>
          <w:rFonts w:ascii="Arial" w:hAnsi="Arial" w:cs="Arial"/>
        </w:rPr>
      </w:pPr>
    </w:p>
    <w:p w:rsidR="00B905DE" w:rsidRDefault="00B905DE" w:rsidP="003421EC">
      <w:pPr>
        <w:rPr>
          <w:rFonts w:ascii="Arial" w:hAnsi="Arial" w:cs="Arial"/>
        </w:rPr>
      </w:pPr>
    </w:p>
    <w:p w:rsidR="006F7D66" w:rsidRPr="00B905DE" w:rsidRDefault="00AE7798" w:rsidP="003421EC">
      <w:pPr>
        <w:rPr>
          <w:rFonts w:ascii="Arial" w:hAnsi="Arial" w:cs="Arial"/>
        </w:rPr>
      </w:pPr>
      <w:r>
        <w:rPr>
          <w:rFonts w:ascii="Arial" w:hAnsi="Arial"/>
        </w:rPr>
        <w:t xml:space="preserve">Within 30 days of </w:t>
      </w:r>
      <w:r w:rsidR="003421EC">
        <w:rPr>
          <w:rFonts w:ascii="Arial" w:hAnsi="Arial"/>
        </w:rPr>
        <w:t>approval of NAC 426.383</w:t>
      </w:r>
      <w:r w:rsidR="00320AEC">
        <w:rPr>
          <w:rFonts w:ascii="Arial" w:hAnsi="Arial"/>
        </w:rPr>
        <w:t xml:space="preserve"> and this policy, </w:t>
      </w:r>
      <w:r w:rsidR="00B704EF">
        <w:rPr>
          <w:rFonts w:ascii="Arial" w:hAnsi="Arial"/>
        </w:rPr>
        <w:t>a one-time</w:t>
      </w:r>
      <w:r w:rsidR="00320AEC">
        <w:rPr>
          <w:rFonts w:ascii="Arial" w:hAnsi="Arial"/>
        </w:rPr>
        <w:t xml:space="preserve"> </w:t>
      </w:r>
      <w:r>
        <w:rPr>
          <w:rFonts w:ascii="Arial" w:hAnsi="Arial"/>
        </w:rPr>
        <w:t>amount</w:t>
      </w:r>
      <w:r w:rsidR="00320AEC">
        <w:rPr>
          <w:rFonts w:ascii="Arial" w:hAnsi="Arial"/>
        </w:rPr>
        <w:t xml:space="preserve"> </w:t>
      </w:r>
      <w:r w:rsidR="006F7D66">
        <w:rPr>
          <w:rFonts w:ascii="Arial" w:hAnsi="Arial"/>
        </w:rPr>
        <w:t>will be distributed to all</w:t>
      </w:r>
      <w:r w:rsidR="0053319B">
        <w:rPr>
          <w:rFonts w:ascii="Arial" w:hAnsi="Arial"/>
        </w:rPr>
        <w:t xml:space="preserve"> </w:t>
      </w:r>
      <w:r w:rsidR="006F7D66">
        <w:rPr>
          <w:rFonts w:ascii="Arial" w:hAnsi="Arial"/>
        </w:rPr>
        <w:t>licensed operators</w:t>
      </w:r>
      <w:r w:rsidR="005A1685">
        <w:rPr>
          <w:rFonts w:ascii="Arial" w:hAnsi="Arial"/>
        </w:rPr>
        <w:t xml:space="preserve"> in the amount of </w:t>
      </w:r>
      <w:r w:rsidR="006F7D66">
        <w:rPr>
          <w:rFonts w:ascii="Arial" w:hAnsi="Arial"/>
        </w:rPr>
        <w:t xml:space="preserve">$1,000 for every </w:t>
      </w:r>
      <w:r w:rsidR="005A1685">
        <w:rPr>
          <w:rFonts w:ascii="Arial" w:hAnsi="Arial"/>
        </w:rPr>
        <w:t xml:space="preserve">full </w:t>
      </w:r>
      <w:r w:rsidR="006F7D66">
        <w:rPr>
          <w:rFonts w:ascii="Arial" w:hAnsi="Arial"/>
        </w:rPr>
        <w:t>year as a licensed operator, not to exceed $25,000 per operator</w:t>
      </w:r>
      <w:r w:rsidR="000D37E9">
        <w:rPr>
          <w:rFonts w:ascii="Arial" w:hAnsi="Arial"/>
        </w:rPr>
        <w:t xml:space="preserve"> (full year calculation will be as of the date the policy is approved)</w:t>
      </w:r>
      <w:r w:rsidR="006F7D66">
        <w:rPr>
          <w:rFonts w:ascii="Arial" w:hAnsi="Arial"/>
        </w:rPr>
        <w:t xml:space="preserve">. If sufficient state budget authority does not exist, the Bureau will put forth a work program for the State of Nevada’s Interim Finance Committee consideration and approval. </w:t>
      </w:r>
    </w:p>
    <w:p w:rsidR="006F7D66" w:rsidRDefault="006F7D66" w:rsidP="003421EC">
      <w:pPr>
        <w:rPr>
          <w:rFonts w:ascii="Arial" w:hAnsi="Arial"/>
        </w:rPr>
      </w:pPr>
    </w:p>
    <w:p w:rsidR="003421EC" w:rsidRDefault="006F7D66" w:rsidP="003421EC">
      <w:pPr>
        <w:rPr>
          <w:rFonts w:ascii="Arial" w:hAnsi="Arial"/>
        </w:rPr>
      </w:pPr>
      <w:r>
        <w:rPr>
          <w:rFonts w:ascii="Arial" w:hAnsi="Arial"/>
        </w:rPr>
        <w:t>Within 45 days of this policy going into effect, t</w:t>
      </w:r>
      <w:r w:rsidR="003421EC">
        <w:rPr>
          <w:rFonts w:ascii="Arial" w:hAnsi="Arial"/>
        </w:rPr>
        <w:t xml:space="preserve">he </w:t>
      </w:r>
      <w:r w:rsidR="00634D53">
        <w:rPr>
          <w:rFonts w:ascii="Arial" w:hAnsi="Arial"/>
        </w:rPr>
        <w:t>NCBV</w:t>
      </w:r>
      <w:r>
        <w:rPr>
          <w:rFonts w:ascii="Arial" w:hAnsi="Arial"/>
        </w:rPr>
        <w:t xml:space="preserve"> will conduct a meeting to</w:t>
      </w:r>
      <w:r w:rsidR="004E326F">
        <w:rPr>
          <w:rFonts w:ascii="Arial" w:hAnsi="Arial"/>
        </w:rPr>
        <w:t xml:space="preserve"> determine</w:t>
      </w:r>
      <w:r>
        <w:rPr>
          <w:rFonts w:ascii="Arial" w:hAnsi="Arial"/>
        </w:rPr>
        <w:t xml:space="preserve"> the additional amount of funding available for Retirement Income</w:t>
      </w:r>
      <w:r w:rsidR="004E326F">
        <w:rPr>
          <w:rFonts w:ascii="Arial" w:hAnsi="Arial"/>
        </w:rPr>
        <w:t xml:space="preserve"> during</w:t>
      </w:r>
      <w:r>
        <w:rPr>
          <w:rFonts w:ascii="Arial" w:hAnsi="Arial"/>
        </w:rPr>
        <w:t xml:space="preserve"> the </w:t>
      </w:r>
      <w:r w:rsidR="003421EC">
        <w:rPr>
          <w:rFonts w:ascii="Arial" w:hAnsi="Arial"/>
        </w:rPr>
        <w:t xml:space="preserve">following </w:t>
      </w:r>
      <w:r w:rsidR="00C6155B">
        <w:rPr>
          <w:rFonts w:ascii="Arial" w:hAnsi="Arial"/>
        </w:rPr>
        <w:t>biennial cycle (SFY 16/17), (due to the timing of the final approval not allowing for the inclusion in the SFY16/17 biennial request</w:t>
      </w:r>
      <w:r w:rsidR="003421EC">
        <w:rPr>
          <w:rFonts w:ascii="Arial" w:hAnsi="Arial"/>
        </w:rPr>
        <w:t>s</w:t>
      </w:r>
      <w:r w:rsidR="00C6155B">
        <w:rPr>
          <w:rFonts w:ascii="Arial" w:hAnsi="Arial"/>
        </w:rPr>
        <w:t xml:space="preserve">).  </w:t>
      </w:r>
    </w:p>
    <w:p w:rsidR="007B42DA" w:rsidRDefault="007B42DA"/>
    <w:p w:rsidR="00A15836" w:rsidRPr="00A15836" w:rsidRDefault="00A15836">
      <w:pPr>
        <w:rPr>
          <w:rFonts w:ascii="Arial" w:hAnsi="Arial"/>
          <w:b/>
          <w:u w:val="single"/>
        </w:rPr>
      </w:pPr>
      <w:r>
        <w:rPr>
          <w:rFonts w:ascii="Arial" w:hAnsi="Arial"/>
          <w:b/>
          <w:u w:val="single"/>
        </w:rPr>
        <w:t>Eligibility</w:t>
      </w:r>
    </w:p>
    <w:p w:rsidR="00A15836" w:rsidRDefault="00A15836"/>
    <w:p w:rsidR="00A15836" w:rsidRDefault="00A15836" w:rsidP="00A15836">
      <w:pPr>
        <w:numPr>
          <w:ilvl w:val="0"/>
          <w:numId w:val="1"/>
        </w:numPr>
        <w:rPr>
          <w:rFonts w:ascii="Arial" w:hAnsi="Arial"/>
        </w:rPr>
      </w:pPr>
      <w:r>
        <w:rPr>
          <w:rFonts w:ascii="Arial" w:hAnsi="Arial"/>
        </w:rPr>
        <w:t>A licensed blind operator operating a vending facility as part of the Business Enterprises of Nevada (BEN) program; or,</w:t>
      </w:r>
    </w:p>
    <w:p w:rsidR="00A15836" w:rsidRDefault="00A15836" w:rsidP="00A15836">
      <w:pPr>
        <w:ind w:left="360"/>
        <w:rPr>
          <w:rFonts w:ascii="Arial" w:hAnsi="Arial"/>
        </w:rPr>
      </w:pPr>
    </w:p>
    <w:p w:rsidR="00A15836" w:rsidRDefault="00A15836" w:rsidP="00A15836">
      <w:pPr>
        <w:numPr>
          <w:ilvl w:val="0"/>
          <w:numId w:val="1"/>
        </w:numPr>
        <w:rPr>
          <w:rFonts w:ascii="Arial" w:hAnsi="Arial"/>
        </w:rPr>
      </w:pPr>
      <w:r>
        <w:rPr>
          <w:rFonts w:ascii="Arial" w:hAnsi="Arial"/>
        </w:rPr>
        <w:t xml:space="preserve">A licensed blind operator who is not currently operating a vending facility but who has retained the license issued by the </w:t>
      </w:r>
      <w:r w:rsidR="00B92063">
        <w:rPr>
          <w:rFonts w:ascii="Arial" w:hAnsi="Arial"/>
        </w:rPr>
        <w:t>B</w:t>
      </w:r>
      <w:r>
        <w:rPr>
          <w:rFonts w:ascii="Arial" w:hAnsi="Arial"/>
        </w:rPr>
        <w:t>ureau; or,</w:t>
      </w:r>
    </w:p>
    <w:p w:rsidR="00A15836" w:rsidRDefault="00A15836" w:rsidP="00A15836">
      <w:pPr>
        <w:rPr>
          <w:rFonts w:ascii="Arial" w:hAnsi="Arial"/>
        </w:rPr>
      </w:pPr>
    </w:p>
    <w:p w:rsidR="00A15836" w:rsidRDefault="00A15836" w:rsidP="007B42DA">
      <w:pPr>
        <w:numPr>
          <w:ilvl w:val="0"/>
          <w:numId w:val="1"/>
        </w:numPr>
        <w:rPr>
          <w:rFonts w:ascii="Arial" w:hAnsi="Arial"/>
        </w:rPr>
      </w:pPr>
      <w:r>
        <w:rPr>
          <w:rFonts w:ascii="Arial" w:hAnsi="Arial"/>
        </w:rPr>
        <w:t>A licensed blind operator of a vending facility operating under an Interim Operating Agreement.</w:t>
      </w:r>
    </w:p>
    <w:p w:rsidR="00CC43E4" w:rsidRPr="006E1933" w:rsidRDefault="00CC43E4" w:rsidP="00ED5003">
      <w:pPr>
        <w:rPr>
          <w:rFonts w:ascii="Arial" w:hAnsi="Arial"/>
        </w:rPr>
      </w:pPr>
    </w:p>
    <w:p w:rsidR="00C6155B" w:rsidRDefault="00C6155B" w:rsidP="007B42DA">
      <w:pPr>
        <w:rPr>
          <w:rFonts w:ascii="Arial" w:hAnsi="Arial" w:cs="Arial"/>
        </w:rPr>
      </w:pPr>
      <w:r>
        <w:rPr>
          <w:rFonts w:ascii="Arial" w:hAnsi="Arial" w:cs="Arial"/>
        </w:rPr>
        <w:t>An individual meets the criteria of being licensed when the terms and conditions of NAC 426.110 et seq. are met.</w:t>
      </w:r>
    </w:p>
    <w:p w:rsidR="00B44AE6" w:rsidRDefault="00B44AE6" w:rsidP="007B42DA">
      <w:pPr>
        <w:rPr>
          <w:rFonts w:ascii="Arial" w:hAnsi="Arial" w:cs="Arial"/>
        </w:rPr>
      </w:pPr>
    </w:p>
    <w:p w:rsidR="001F65F8" w:rsidRPr="00A15836" w:rsidRDefault="001F65F8" w:rsidP="001F65F8">
      <w:pPr>
        <w:rPr>
          <w:rFonts w:ascii="Arial" w:hAnsi="Arial"/>
          <w:b/>
          <w:u w:val="single"/>
        </w:rPr>
      </w:pPr>
      <w:r>
        <w:rPr>
          <w:rFonts w:ascii="Arial" w:hAnsi="Arial"/>
          <w:b/>
          <w:u w:val="single"/>
        </w:rPr>
        <w:t>Distribution</w:t>
      </w:r>
    </w:p>
    <w:p w:rsidR="00D51178" w:rsidRPr="00D51178" w:rsidRDefault="00D51178" w:rsidP="00D51178">
      <w:pPr>
        <w:pStyle w:val="ListParagraph"/>
        <w:rPr>
          <w:rFonts w:ascii="Arial" w:hAnsi="Arial" w:cs="Arial"/>
          <w:strike/>
        </w:rPr>
      </w:pPr>
    </w:p>
    <w:p w:rsidR="00954110" w:rsidRDefault="006A706A" w:rsidP="006A706A">
      <w:pPr>
        <w:pStyle w:val="ListParagraph"/>
        <w:numPr>
          <w:ilvl w:val="0"/>
          <w:numId w:val="5"/>
        </w:numPr>
        <w:rPr>
          <w:rFonts w:ascii="Arial" w:hAnsi="Arial" w:cs="Arial"/>
        </w:rPr>
      </w:pPr>
      <w:r>
        <w:rPr>
          <w:rFonts w:ascii="Arial" w:hAnsi="Arial" w:cs="Arial"/>
        </w:rPr>
        <w:t xml:space="preserve"> </w:t>
      </w:r>
      <w:r w:rsidRPr="006A706A">
        <w:rPr>
          <w:rFonts w:ascii="Arial" w:hAnsi="Arial" w:cs="Arial"/>
        </w:rPr>
        <w:t>Years of service will be determined utilizing</w:t>
      </w:r>
      <w:r w:rsidR="00954110" w:rsidRPr="006A706A">
        <w:rPr>
          <w:rFonts w:ascii="Arial" w:hAnsi="Arial" w:cs="Arial"/>
        </w:rPr>
        <w:t xml:space="preserve"> </w:t>
      </w:r>
      <w:r w:rsidR="00942522">
        <w:rPr>
          <w:rFonts w:ascii="Arial" w:hAnsi="Arial" w:cs="Arial"/>
        </w:rPr>
        <w:t xml:space="preserve">the </w:t>
      </w:r>
      <w:r w:rsidRPr="006A706A">
        <w:rPr>
          <w:rFonts w:ascii="Arial" w:hAnsi="Arial" w:cs="Arial"/>
        </w:rPr>
        <w:t xml:space="preserve">State Fiscal Year time period </w:t>
      </w:r>
      <w:r>
        <w:rPr>
          <w:rFonts w:ascii="Arial" w:hAnsi="Arial" w:cs="Arial"/>
        </w:rPr>
        <w:t xml:space="preserve">and </w:t>
      </w:r>
      <w:r w:rsidRPr="006A706A">
        <w:rPr>
          <w:rFonts w:ascii="Arial" w:hAnsi="Arial" w:cs="Arial"/>
        </w:rPr>
        <w:t xml:space="preserve">will be </w:t>
      </w:r>
      <w:r w:rsidR="00954110" w:rsidRPr="006A706A">
        <w:rPr>
          <w:rFonts w:ascii="Arial" w:hAnsi="Arial" w:cs="Arial"/>
        </w:rPr>
        <w:t xml:space="preserve">counted </w:t>
      </w:r>
      <w:r>
        <w:rPr>
          <w:rFonts w:ascii="Arial" w:hAnsi="Arial" w:cs="Arial"/>
        </w:rPr>
        <w:t xml:space="preserve">and </w:t>
      </w:r>
      <w:r w:rsidR="00954110" w:rsidRPr="006A706A">
        <w:rPr>
          <w:rFonts w:ascii="Arial" w:hAnsi="Arial" w:cs="Arial"/>
        </w:rPr>
        <w:t>accrued as of June 30</w:t>
      </w:r>
      <w:r w:rsidR="00954110" w:rsidRPr="006A706A">
        <w:rPr>
          <w:rFonts w:ascii="Arial" w:hAnsi="Arial" w:cs="Arial"/>
          <w:vertAlign w:val="superscript"/>
        </w:rPr>
        <w:t>th</w:t>
      </w:r>
      <w:r w:rsidR="00954110" w:rsidRPr="006A706A">
        <w:rPr>
          <w:rFonts w:ascii="Arial" w:hAnsi="Arial" w:cs="Arial"/>
        </w:rPr>
        <w:t xml:space="preserve">. </w:t>
      </w:r>
      <w:r w:rsidR="00E3578E">
        <w:rPr>
          <w:rFonts w:ascii="Arial" w:hAnsi="Arial" w:cs="Arial"/>
        </w:rPr>
        <w:t xml:space="preserve">For the purposes of determining the retirement income due to the operator, years of service balance which will be used for calculation will be the </w:t>
      </w:r>
      <w:r w:rsidR="00942522">
        <w:rPr>
          <w:rFonts w:ascii="Arial" w:hAnsi="Arial" w:cs="Arial"/>
        </w:rPr>
        <w:t xml:space="preserve">amount of full years </w:t>
      </w:r>
      <w:r w:rsidR="00E3578E">
        <w:rPr>
          <w:rFonts w:ascii="Arial" w:hAnsi="Arial" w:cs="Arial"/>
        </w:rPr>
        <w:t>on June 30</w:t>
      </w:r>
      <w:r w:rsidR="00E3578E" w:rsidRPr="00E3578E">
        <w:rPr>
          <w:rFonts w:ascii="Arial" w:hAnsi="Arial" w:cs="Arial"/>
          <w:vertAlign w:val="superscript"/>
        </w:rPr>
        <w:t>th</w:t>
      </w:r>
      <w:r w:rsidR="00E3578E">
        <w:rPr>
          <w:rFonts w:ascii="Arial" w:hAnsi="Arial" w:cs="Arial"/>
        </w:rPr>
        <w:t xml:space="preserve"> prior to </w:t>
      </w:r>
      <w:r w:rsidR="00942522">
        <w:rPr>
          <w:rFonts w:ascii="Arial" w:hAnsi="Arial" w:cs="Arial"/>
        </w:rPr>
        <w:t xml:space="preserve">the </w:t>
      </w:r>
      <w:r w:rsidR="00E3578E">
        <w:rPr>
          <w:rFonts w:ascii="Arial" w:hAnsi="Arial" w:cs="Arial"/>
        </w:rPr>
        <w:t xml:space="preserve">distribution. </w:t>
      </w:r>
    </w:p>
    <w:p w:rsidR="00E3578E" w:rsidRPr="006A706A" w:rsidRDefault="00E3578E" w:rsidP="00E3578E">
      <w:pPr>
        <w:pStyle w:val="ListParagraph"/>
        <w:ind w:left="810"/>
        <w:rPr>
          <w:rFonts w:ascii="Arial" w:hAnsi="Arial" w:cs="Arial"/>
        </w:rPr>
      </w:pPr>
    </w:p>
    <w:p w:rsidR="00E3578E" w:rsidRPr="00E3578E" w:rsidRDefault="00E3578E" w:rsidP="00DA0058">
      <w:pPr>
        <w:numPr>
          <w:ilvl w:val="0"/>
          <w:numId w:val="5"/>
        </w:numPr>
        <w:ind w:left="720"/>
        <w:rPr>
          <w:rFonts w:ascii="Arial" w:hAnsi="Arial"/>
        </w:rPr>
      </w:pPr>
      <w:r>
        <w:rPr>
          <w:rFonts w:ascii="Arial" w:hAnsi="Arial"/>
        </w:rPr>
        <w:t xml:space="preserve">Licensed Operators must be vested with five (5) years of service to receive one </w:t>
      </w:r>
      <w:r w:rsidRPr="00E3578E">
        <w:rPr>
          <w:rFonts w:ascii="Arial" w:hAnsi="Arial"/>
        </w:rPr>
        <w:t>hundred percent (100%) of the $9,000 retirement income. Operators who have less than 5 years of service will receive retirement income as a prorated amount based on following formula:</w:t>
      </w:r>
    </w:p>
    <w:p w:rsidR="00E3578E" w:rsidRDefault="00E3578E" w:rsidP="00E3578E">
      <w:pPr>
        <w:pStyle w:val="ListParagraph"/>
        <w:rPr>
          <w:rFonts w:ascii="Arial" w:hAnsi="Arial"/>
        </w:rPr>
      </w:pPr>
    </w:p>
    <w:p w:rsidR="00E3578E" w:rsidRDefault="00E3578E" w:rsidP="00E3578E">
      <w:pPr>
        <w:ind w:left="720"/>
        <w:rPr>
          <w:rFonts w:ascii="Arial" w:hAnsi="Arial"/>
        </w:rPr>
      </w:pPr>
      <w:r>
        <w:rPr>
          <w:rFonts w:ascii="Arial" w:hAnsi="Arial"/>
        </w:rPr>
        <w:t xml:space="preserve">    Time of licensure up to one (1) year</w:t>
      </w:r>
      <w:r>
        <w:rPr>
          <w:rFonts w:ascii="Arial" w:hAnsi="Arial"/>
        </w:rPr>
        <w:tab/>
      </w:r>
      <w:r>
        <w:rPr>
          <w:rFonts w:ascii="Arial" w:hAnsi="Arial"/>
        </w:rPr>
        <w:tab/>
        <w:t xml:space="preserve">    – </w:t>
      </w:r>
      <w:r>
        <w:rPr>
          <w:rFonts w:ascii="Arial" w:hAnsi="Arial"/>
        </w:rPr>
        <w:tab/>
        <w:t>Ten percent (10%)</w:t>
      </w:r>
    </w:p>
    <w:p w:rsidR="00E3578E" w:rsidRDefault="00E3578E" w:rsidP="00E3578E">
      <w:pPr>
        <w:rPr>
          <w:rFonts w:ascii="Arial" w:hAnsi="Arial"/>
        </w:rPr>
      </w:pPr>
      <w:r>
        <w:rPr>
          <w:rFonts w:ascii="Arial" w:hAnsi="Arial"/>
        </w:rPr>
        <w:t xml:space="preserve"> </w:t>
      </w:r>
      <w:r>
        <w:rPr>
          <w:rFonts w:ascii="Arial" w:hAnsi="Arial"/>
        </w:rPr>
        <w:tab/>
        <w:t xml:space="preserve">    One (1) year plus one day to two (2) years </w:t>
      </w:r>
      <w:r>
        <w:rPr>
          <w:rFonts w:ascii="Arial" w:hAnsi="Arial"/>
        </w:rPr>
        <w:tab/>
        <w:t xml:space="preserve">    –</w:t>
      </w:r>
      <w:r>
        <w:rPr>
          <w:rFonts w:ascii="Arial" w:hAnsi="Arial"/>
        </w:rPr>
        <w:tab/>
        <w:t>Twenty percent (20%)</w:t>
      </w:r>
    </w:p>
    <w:p w:rsidR="00E3578E" w:rsidRDefault="00E3578E" w:rsidP="00E3578E">
      <w:pPr>
        <w:ind w:firstLine="720"/>
        <w:rPr>
          <w:rFonts w:ascii="Arial" w:hAnsi="Arial"/>
        </w:rPr>
      </w:pPr>
      <w:r>
        <w:rPr>
          <w:rFonts w:ascii="Arial" w:hAnsi="Arial"/>
        </w:rPr>
        <w:t xml:space="preserve">    Two (2) years plus one day to three (3) years    –</w:t>
      </w:r>
      <w:r>
        <w:rPr>
          <w:rFonts w:ascii="Arial" w:hAnsi="Arial"/>
        </w:rPr>
        <w:tab/>
        <w:t>Forty percent (40%)</w:t>
      </w:r>
    </w:p>
    <w:p w:rsidR="00E3578E" w:rsidRDefault="00E3578E" w:rsidP="00E3578E">
      <w:pPr>
        <w:ind w:firstLine="720"/>
        <w:rPr>
          <w:rFonts w:ascii="Arial" w:hAnsi="Arial"/>
        </w:rPr>
      </w:pPr>
      <w:r>
        <w:rPr>
          <w:rFonts w:ascii="Arial" w:hAnsi="Arial"/>
        </w:rPr>
        <w:lastRenderedPageBreak/>
        <w:t xml:space="preserve">    Three (3) years plus one day to four (4) years   </w:t>
      </w:r>
      <w:r w:rsidRPr="007B5016">
        <w:rPr>
          <w:rFonts w:ascii="Arial" w:hAnsi="Arial"/>
          <w:sz w:val="12"/>
          <w:szCs w:val="12"/>
        </w:rPr>
        <w:t xml:space="preserve"> </w:t>
      </w:r>
      <w:r>
        <w:rPr>
          <w:rFonts w:ascii="Arial" w:hAnsi="Arial"/>
        </w:rPr>
        <w:t>–</w:t>
      </w:r>
      <w:r>
        <w:rPr>
          <w:rFonts w:ascii="Arial" w:hAnsi="Arial"/>
        </w:rPr>
        <w:tab/>
        <w:t>Sixty percent (60%)</w:t>
      </w:r>
    </w:p>
    <w:p w:rsidR="00E3578E" w:rsidRDefault="00E3578E" w:rsidP="00E3578E">
      <w:pPr>
        <w:ind w:firstLine="720"/>
        <w:rPr>
          <w:rFonts w:ascii="Arial" w:hAnsi="Arial"/>
        </w:rPr>
      </w:pPr>
      <w:r>
        <w:rPr>
          <w:rFonts w:ascii="Arial" w:hAnsi="Arial"/>
        </w:rPr>
        <w:t xml:space="preserve">    Four (4) years plus one day to five (5) years </w:t>
      </w:r>
      <w:r>
        <w:rPr>
          <w:rFonts w:ascii="Arial" w:hAnsi="Arial"/>
        </w:rPr>
        <w:tab/>
        <w:t xml:space="preserve">    –</w:t>
      </w:r>
      <w:r>
        <w:rPr>
          <w:rFonts w:ascii="Arial" w:hAnsi="Arial"/>
        </w:rPr>
        <w:tab/>
        <w:t>Eighty percent (80%)</w:t>
      </w:r>
    </w:p>
    <w:p w:rsidR="00E3578E" w:rsidRDefault="00E3578E" w:rsidP="00B905DE">
      <w:pPr>
        <w:ind w:firstLine="720"/>
        <w:rPr>
          <w:rFonts w:ascii="Arial" w:hAnsi="Arial"/>
        </w:rPr>
      </w:pPr>
      <w:r>
        <w:rPr>
          <w:rFonts w:ascii="Arial" w:hAnsi="Arial"/>
        </w:rPr>
        <w:t xml:space="preserve">    Five (5) years plus one day or more </w:t>
      </w:r>
      <w:r>
        <w:rPr>
          <w:rFonts w:ascii="Arial" w:hAnsi="Arial"/>
        </w:rPr>
        <w:tab/>
      </w:r>
      <w:r>
        <w:rPr>
          <w:rFonts w:ascii="Arial" w:hAnsi="Arial"/>
        </w:rPr>
        <w:tab/>
        <w:t xml:space="preserve">    –</w:t>
      </w:r>
      <w:r>
        <w:rPr>
          <w:rFonts w:ascii="Arial" w:hAnsi="Arial"/>
        </w:rPr>
        <w:tab/>
        <w:t>Hundred percent (100%)</w:t>
      </w:r>
    </w:p>
    <w:p w:rsidR="00E3578E" w:rsidRPr="00D412DD" w:rsidRDefault="00E3578E" w:rsidP="00E3578E">
      <w:pPr>
        <w:pStyle w:val="ListParagraph"/>
        <w:numPr>
          <w:ilvl w:val="0"/>
          <w:numId w:val="5"/>
        </w:numPr>
        <w:ind w:left="720"/>
        <w:rPr>
          <w:rFonts w:ascii="Arial" w:hAnsi="Arial"/>
        </w:rPr>
      </w:pPr>
      <w:r w:rsidRPr="001F65F8">
        <w:rPr>
          <w:rFonts w:ascii="Arial" w:hAnsi="Arial"/>
        </w:rPr>
        <w:t xml:space="preserve">The </w:t>
      </w:r>
      <w:r>
        <w:rPr>
          <w:rFonts w:ascii="Arial" w:hAnsi="Arial"/>
        </w:rPr>
        <w:t xml:space="preserve">additional retirement </w:t>
      </w:r>
      <w:r w:rsidRPr="001F65F8">
        <w:rPr>
          <w:rFonts w:ascii="Arial" w:hAnsi="Arial"/>
        </w:rPr>
        <w:t xml:space="preserve">amount to be distributed </w:t>
      </w:r>
      <w:r>
        <w:rPr>
          <w:rFonts w:ascii="Arial" w:hAnsi="Arial"/>
        </w:rPr>
        <w:t>will be</w:t>
      </w:r>
      <w:r w:rsidRPr="001F65F8">
        <w:rPr>
          <w:rFonts w:ascii="Arial" w:hAnsi="Arial"/>
        </w:rPr>
        <w:t xml:space="preserve"> divided by the total number of shares in order to determine a per share amount.</w:t>
      </w:r>
      <w:r>
        <w:rPr>
          <w:rFonts w:ascii="Arial" w:hAnsi="Arial"/>
        </w:rPr>
        <w:t xml:space="preserve"> </w:t>
      </w:r>
      <w:r w:rsidRPr="001F65F8">
        <w:rPr>
          <w:rFonts w:ascii="Arial" w:hAnsi="Arial"/>
        </w:rPr>
        <w:t xml:space="preserve"> </w:t>
      </w:r>
      <w:r w:rsidR="00096373">
        <w:rPr>
          <w:rFonts w:ascii="Arial" w:hAnsi="Arial"/>
        </w:rPr>
        <w:t xml:space="preserve">In order to determine </w:t>
      </w:r>
      <w:r w:rsidR="00096373" w:rsidRPr="00096373">
        <w:rPr>
          <w:rFonts w:ascii="Arial" w:hAnsi="Arial"/>
        </w:rPr>
        <w:t xml:space="preserve">amount </w:t>
      </w:r>
      <w:r w:rsidR="00096373">
        <w:rPr>
          <w:rFonts w:ascii="Arial" w:hAnsi="Arial"/>
        </w:rPr>
        <w:t xml:space="preserve">of shares the </w:t>
      </w:r>
      <w:r w:rsidR="00096373" w:rsidRPr="00096373">
        <w:rPr>
          <w:rFonts w:ascii="Arial" w:hAnsi="Arial"/>
        </w:rPr>
        <w:t>operator will receive</w:t>
      </w:r>
      <w:r w:rsidR="00096373">
        <w:rPr>
          <w:rFonts w:ascii="Arial" w:hAnsi="Arial"/>
        </w:rPr>
        <w:t xml:space="preserve">, </w:t>
      </w:r>
      <w:r w:rsidR="00096373" w:rsidRPr="00096373">
        <w:rPr>
          <w:rFonts w:ascii="Arial" w:hAnsi="Arial"/>
        </w:rPr>
        <w:t xml:space="preserve">shares </w:t>
      </w:r>
      <w:r w:rsidR="00096373">
        <w:rPr>
          <w:rFonts w:ascii="Arial" w:hAnsi="Arial"/>
        </w:rPr>
        <w:t xml:space="preserve">will be counted and </w:t>
      </w:r>
      <w:r w:rsidR="00096373" w:rsidRPr="00096373">
        <w:rPr>
          <w:rFonts w:ascii="Arial" w:hAnsi="Arial"/>
        </w:rPr>
        <w:t>based on the full years of service as of June 30</w:t>
      </w:r>
      <w:r w:rsidR="00096373" w:rsidRPr="00096373">
        <w:rPr>
          <w:rFonts w:ascii="Arial" w:hAnsi="Arial"/>
          <w:vertAlign w:val="superscript"/>
        </w:rPr>
        <w:t>th</w:t>
      </w:r>
      <w:r w:rsidR="00096373">
        <w:rPr>
          <w:rFonts w:ascii="Arial" w:hAnsi="Arial"/>
        </w:rPr>
        <w:t xml:space="preserve">. </w:t>
      </w:r>
      <w:r>
        <w:rPr>
          <w:rFonts w:ascii="Arial" w:hAnsi="Arial"/>
        </w:rPr>
        <w:t xml:space="preserve">Total number of shares </w:t>
      </w:r>
      <w:r w:rsidR="00096373">
        <w:rPr>
          <w:rFonts w:ascii="Arial" w:hAnsi="Arial"/>
        </w:rPr>
        <w:t>the o</w:t>
      </w:r>
      <w:r w:rsidRPr="00D412DD">
        <w:rPr>
          <w:rFonts w:ascii="Arial" w:hAnsi="Arial"/>
        </w:rPr>
        <w:t xml:space="preserve">perator </w:t>
      </w:r>
      <w:r>
        <w:rPr>
          <w:rFonts w:ascii="Arial" w:hAnsi="Arial"/>
        </w:rPr>
        <w:t xml:space="preserve">will </w:t>
      </w:r>
      <w:r w:rsidRPr="00D412DD">
        <w:rPr>
          <w:rFonts w:ascii="Arial" w:hAnsi="Arial"/>
        </w:rPr>
        <w:t>receive</w:t>
      </w:r>
      <w:r>
        <w:rPr>
          <w:rFonts w:ascii="Arial" w:hAnsi="Arial"/>
        </w:rPr>
        <w:t xml:space="preserve"> </w:t>
      </w:r>
      <w:r w:rsidR="00096373">
        <w:rPr>
          <w:rFonts w:ascii="Arial" w:hAnsi="Arial"/>
        </w:rPr>
        <w:t>will be</w:t>
      </w:r>
      <w:r>
        <w:rPr>
          <w:rFonts w:ascii="Arial" w:hAnsi="Arial"/>
        </w:rPr>
        <w:t xml:space="preserve"> </w:t>
      </w:r>
      <w:r w:rsidR="00096373">
        <w:rPr>
          <w:rFonts w:ascii="Arial" w:hAnsi="Arial"/>
        </w:rPr>
        <w:t>determined by</w:t>
      </w:r>
      <w:r>
        <w:rPr>
          <w:rFonts w:ascii="Arial" w:hAnsi="Arial"/>
        </w:rPr>
        <w:t xml:space="preserve"> the following tenure formula: </w:t>
      </w:r>
    </w:p>
    <w:p w:rsidR="00E3578E" w:rsidRDefault="00E3578E" w:rsidP="00E3578E">
      <w:pPr>
        <w:ind w:left="720" w:firstLine="720"/>
        <w:rPr>
          <w:rFonts w:ascii="Arial" w:hAnsi="Arial"/>
        </w:rPr>
      </w:pPr>
    </w:p>
    <w:p w:rsidR="00E3578E" w:rsidRPr="00D412DD" w:rsidRDefault="00E3578E" w:rsidP="00E3578E">
      <w:pPr>
        <w:ind w:left="720" w:firstLine="720"/>
        <w:rPr>
          <w:rFonts w:ascii="Arial" w:hAnsi="Arial"/>
        </w:rPr>
      </w:pPr>
      <w:r>
        <w:rPr>
          <w:rFonts w:ascii="Arial" w:hAnsi="Arial"/>
        </w:rPr>
        <w:t>One year</w:t>
      </w:r>
      <w:r w:rsidRPr="00D412DD">
        <w:rPr>
          <w:rFonts w:ascii="Arial" w:hAnsi="Arial"/>
        </w:rPr>
        <w:t xml:space="preserve"> to ten years </w:t>
      </w:r>
      <w:r w:rsidRPr="00D412DD">
        <w:rPr>
          <w:rFonts w:ascii="Arial" w:hAnsi="Arial"/>
        </w:rPr>
        <w:tab/>
      </w:r>
      <w:r w:rsidRPr="00D412DD">
        <w:rPr>
          <w:rFonts w:ascii="Arial" w:hAnsi="Arial"/>
        </w:rPr>
        <w:tab/>
      </w:r>
      <w:r>
        <w:rPr>
          <w:rFonts w:ascii="Arial" w:hAnsi="Arial"/>
        </w:rPr>
        <w:tab/>
        <w:t xml:space="preserve">  </w:t>
      </w:r>
      <w:r w:rsidRPr="00D412DD">
        <w:rPr>
          <w:rFonts w:ascii="Arial" w:hAnsi="Arial"/>
        </w:rPr>
        <w:t>–</w:t>
      </w:r>
      <w:r>
        <w:rPr>
          <w:rFonts w:ascii="Arial" w:hAnsi="Arial"/>
        </w:rPr>
        <w:t xml:space="preserve"> </w:t>
      </w:r>
      <w:r>
        <w:rPr>
          <w:rFonts w:ascii="Arial" w:hAnsi="Arial"/>
        </w:rPr>
        <w:tab/>
      </w:r>
      <w:r w:rsidRPr="00D412DD">
        <w:rPr>
          <w:rFonts w:ascii="Arial" w:hAnsi="Arial"/>
        </w:rPr>
        <w:t>One (1) share</w:t>
      </w:r>
    </w:p>
    <w:p w:rsidR="00E3578E" w:rsidRPr="00D412DD" w:rsidRDefault="00E3578E" w:rsidP="00E3578E">
      <w:pPr>
        <w:ind w:left="1440"/>
        <w:rPr>
          <w:rFonts w:ascii="Arial" w:hAnsi="Arial"/>
        </w:rPr>
      </w:pPr>
      <w:r>
        <w:rPr>
          <w:rFonts w:ascii="Arial" w:hAnsi="Arial"/>
        </w:rPr>
        <w:t>Ten years plus one day</w:t>
      </w:r>
      <w:r w:rsidRPr="00D412DD">
        <w:rPr>
          <w:rFonts w:ascii="Arial" w:hAnsi="Arial"/>
        </w:rPr>
        <w:t xml:space="preserve"> to twenty years</w:t>
      </w:r>
      <w:r>
        <w:rPr>
          <w:rFonts w:ascii="Arial" w:hAnsi="Arial"/>
        </w:rPr>
        <w:tab/>
        <w:t xml:space="preserve">  </w:t>
      </w:r>
      <w:r w:rsidRPr="00D412DD">
        <w:rPr>
          <w:rFonts w:ascii="Arial" w:hAnsi="Arial"/>
        </w:rPr>
        <w:t>–</w:t>
      </w:r>
      <w:r>
        <w:rPr>
          <w:rFonts w:ascii="Arial" w:hAnsi="Arial"/>
        </w:rPr>
        <w:t xml:space="preserve">  </w:t>
      </w:r>
      <w:r>
        <w:rPr>
          <w:rFonts w:ascii="Arial" w:hAnsi="Arial"/>
        </w:rPr>
        <w:tab/>
        <w:t>Two (</w:t>
      </w:r>
      <w:r w:rsidRPr="00D412DD">
        <w:rPr>
          <w:rFonts w:ascii="Arial" w:hAnsi="Arial"/>
        </w:rPr>
        <w:t>2</w:t>
      </w:r>
      <w:r>
        <w:rPr>
          <w:rFonts w:ascii="Arial" w:hAnsi="Arial"/>
        </w:rPr>
        <w:t>)</w:t>
      </w:r>
      <w:r w:rsidRPr="00D412DD">
        <w:rPr>
          <w:rFonts w:ascii="Arial" w:hAnsi="Arial"/>
        </w:rPr>
        <w:t xml:space="preserve"> shares</w:t>
      </w:r>
    </w:p>
    <w:p w:rsidR="00E3578E" w:rsidRDefault="00E3578E" w:rsidP="00E3578E">
      <w:pPr>
        <w:ind w:left="720" w:firstLine="720"/>
        <w:rPr>
          <w:rFonts w:ascii="Arial" w:hAnsi="Arial"/>
        </w:rPr>
      </w:pPr>
      <w:r w:rsidRPr="00D412DD">
        <w:rPr>
          <w:rFonts w:ascii="Arial" w:hAnsi="Arial"/>
        </w:rPr>
        <w:t xml:space="preserve">Twenty years </w:t>
      </w:r>
      <w:r>
        <w:rPr>
          <w:rFonts w:ascii="Arial" w:hAnsi="Arial"/>
        </w:rPr>
        <w:t xml:space="preserve">plus one day and more </w:t>
      </w:r>
      <w:r>
        <w:rPr>
          <w:rFonts w:ascii="Arial" w:hAnsi="Arial"/>
        </w:rPr>
        <w:tab/>
        <w:t xml:space="preserve">  </w:t>
      </w:r>
      <w:r w:rsidRPr="00D412DD">
        <w:rPr>
          <w:rFonts w:ascii="Arial" w:hAnsi="Arial"/>
        </w:rPr>
        <w:t xml:space="preserve">–  </w:t>
      </w:r>
      <w:r>
        <w:rPr>
          <w:rFonts w:ascii="Arial" w:hAnsi="Arial"/>
        </w:rPr>
        <w:tab/>
      </w:r>
      <w:r w:rsidRPr="00D412DD">
        <w:rPr>
          <w:rFonts w:ascii="Arial" w:hAnsi="Arial"/>
        </w:rPr>
        <w:t>Three (3) shares</w:t>
      </w:r>
    </w:p>
    <w:p w:rsidR="00D51178" w:rsidRDefault="00D51178" w:rsidP="00E3578E">
      <w:pPr>
        <w:pStyle w:val="ListParagraph"/>
        <w:rPr>
          <w:rFonts w:ascii="Arial" w:hAnsi="Arial" w:cs="Arial"/>
          <w:strike/>
        </w:rPr>
      </w:pPr>
    </w:p>
    <w:p w:rsidR="001F65F8" w:rsidRPr="006D0626" w:rsidRDefault="00096373" w:rsidP="00DA0058">
      <w:pPr>
        <w:pStyle w:val="ListParagraph"/>
        <w:numPr>
          <w:ilvl w:val="0"/>
          <w:numId w:val="5"/>
        </w:numPr>
        <w:ind w:left="720" w:hanging="270"/>
        <w:rPr>
          <w:rFonts w:ascii="Arial" w:hAnsi="Arial" w:cs="Arial"/>
          <w:strike/>
          <w:color w:val="000000"/>
        </w:rPr>
      </w:pPr>
      <w:r>
        <w:rPr>
          <w:rFonts w:ascii="Arial" w:hAnsi="Arial" w:cs="Arial"/>
        </w:rPr>
        <w:t xml:space="preserve">Retirement income </w:t>
      </w:r>
      <w:r w:rsidR="001F65F8" w:rsidRPr="00D412DD">
        <w:rPr>
          <w:rFonts w:ascii="Arial" w:hAnsi="Arial" w:cs="Arial"/>
        </w:rPr>
        <w:t xml:space="preserve">benefit is paid </w:t>
      </w:r>
      <w:r w:rsidR="0053319B">
        <w:rPr>
          <w:rFonts w:ascii="Arial" w:hAnsi="Arial" w:cs="Arial"/>
        </w:rPr>
        <w:t xml:space="preserve">annually in January of each calendar year </w:t>
      </w:r>
      <w:r w:rsidR="001F65F8" w:rsidRPr="00D412DD">
        <w:rPr>
          <w:rFonts w:ascii="Arial" w:hAnsi="Arial" w:cs="Arial"/>
        </w:rPr>
        <w:t xml:space="preserve">by </w:t>
      </w:r>
      <w:r w:rsidR="00CC2613">
        <w:rPr>
          <w:rFonts w:ascii="Arial" w:hAnsi="Arial" w:cs="Arial"/>
        </w:rPr>
        <w:t>an electronic funds transfer</w:t>
      </w:r>
      <w:r w:rsidR="001F65F8" w:rsidRPr="00D412DD">
        <w:rPr>
          <w:rFonts w:ascii="Arial" w:hAnsi="Arial" w:cs="Arial"/>
        </w:rPr>
        <w:t xml:space="preserve"> in the amount</w:t>
      </w:r>
      <w:r w:rsidR="00634D53">
        <w:rPr>
          <w:rFonts w:ascii="Arial" w:hAnsi="Arial" w:cs="Arial"/>
        </w:rPr>
        <w:t xml:space="preserve"> </w:t>
      </w:r>
      <w:r w:rsidR="001F65F8" w:rsidRPr="00AB7AD3">
        <w:rPr>
          <w:rFonts w:ascii="Arial" w:hAnsi="Arial" w:cs="Arial"/>
        </w:rPr>
        <w:t>of $9,000</w:t>
      </w:r>
      <w:r w:rsidR="001F65F8" w:rsidRPr="00D412DD">
        <w:rPr>
          <w:rFonts w:ascii="Arial" w:hAnsi="Arial" w:cs="Arial"/>
        </w:rPr>
        <w:t xml:space="preserve"> to each</w:t>
      </w:r>
      <w:r w:rsidR="00AB7AD3">
        <w:rPr>
          <w:rFonts w:ascii="Arial" w:hAnsi="Arial" w:cs="Arial"/>
        </w:rPr>
        <w:t xml:space="preserve"> eligible</w:t>
      </w:r>
      <w:r w:rsidR="001F65F8" w:rsidRPr="00D412DD">
        <w:rPr>
          <w:rFonts w:ascii="Arial" w:hAnsi="Arial" w:cs="Arial"/>
        </w:rPr>
        <w:t xml:space="preserve"> Operator </w:t>
      </w:r>
      <w:r w:rsidR="00D51178" w:rsidRPr="006D0626">
        <w:rPr>
          <w:rFonts w:ascii="Arial" w:hAnsi="Arial" w:cs="Arial"/>
          <w:color w:val="000000"/>
        </w:rPr>
        <w:t>based on the years of service in the program accrued as of June 30</w:t>
      </w:r>
      <w:r w:rsidR="00D51178" w:rsidRPr="006D0626">
        <w:rPr>
          <w:rFonts w:ascii="Arial" w:hAnsi="Arial" w:cs="Arial"/>
          <w:color w:val="000000"/>
          <w:vertAlign w:val="superscript"/>
        </w:rPr>
        <w:t>th</w:t>
      </w:r>
      <w:r w:rsidR="00D51178" w:rsidRPr="006D0626">
        <w:rPr>
          <w:rFonts w:ascii="Arial" w:hAnsi="Arial" w:cs="Arial"/>
          <w:color w:val="000000"/>
        </w:rPr>
        <w:t xml:space="preserve">, </w:t>
      </w:r>
      <w:r w:rsidR="001F65F8" w:rsidRPr="006D0626">
        <w:rPr>
          <w:rFonts w:ascii="Arial" w:hAnsi="Arial" w:cs="Arial"/>
          <w:color w:val="000000"/>
        </w:rPr>
        <w:t>representing the Bureau’s contribution for each recipient’s individual investment for the purpose of retirement income. The additional retirement amount</w:t>
      </w:r>
      <w:r w:rsidR="00655AD6" w:rsidRPr="006D0626">
        <w:rPr>
          <w:rFonts w:ascii="Arial" w:hAnsi="Arial" w:cs="Arial"/>
          <w:color w:val="000000"/>
        </w:rPr>
        <w:t>, if applicable,</w:t>
      </w:r>
      <w:r w:rsidR="001F65F8" w:rsidRPr="006D0626">
        <w:rPr>
          <w:rFonts w:ascii="Arial" w:hAnsi="Arial" w:cs="Arial"/>
          <w:color w:val="000000"/>
        </w:rPr>
        <w:t xml:space="preserve"> will also be paid by </w:t>
      </w:r>
      <w:r w:rsidR="00CC2613" w:rsidRPr="006D0626">
        <w:rPr>
          <w:rFonts w:ascii="Arial" w:hAnsi="Arial" w:cs="Arial"/>
          <w:color w:val="000000"/>
        </w:rPr>
        <w:t>an electronic funds transfer</w:t>
      </w:r>
      <w:r w:rsidR="001F65F8" w:rsidRPr="006D0626">
        <w:rPr>
          <w:rFonts w:ascii="Arial" w:hAnsi="Arial" w:cs="Arial"/>
          <w:color w:val="000000"/>
        </w:rPr>
        <w:t xml:space="preserve"> in the amount </w:t>
      </w:r>
      <w:r w:rsidR="00AB7AD3" w:rsidRPr="006D0626">
        <w:rPr>
          <w:rFonts w:ascii="Arial" w:hAnsi="Arial" w:cs="Arial"/>
          <w:color w:val="000000"/>
        </w:rPr>
        <w:t xml:space="preserve">approved by the NCBV and the Legislature or its appointing body </w:t>
      </w:r>
      <w:r w:rsidR="00623DCF" w:rsidRPr="006D0626">
        <w:rPr>
          <w:rFonts w:ascii="Arial" w:hAnsi="Arial" w:cs="Arial"/>
          <w:color w:val="000000"/>
        </w:rPr>
        <w:t xml:space="preserve">and </w:t>
      </w:r>
      <w:r w:rsidR="00655AD6" w:rsidRPr="006D0626">
        <w:rPr>
          <w:rFonts w:ascii="Arial" w:hAnsi="Arial" w:cs="Arial"/>
          <w:color w:val="000000"/>
        </w:rPr>
        <w:t xml:space="preserve">calculated </w:t>
      </w:r>
      <w:r w:rsidR="00CC2613" w:rsidRPr="006D0626">
        <w:rPr>
          <w:rFonts w:ascii="Arial" w:hAnsi="Arial" w:cs="Arial"/>
          <w:color w:val="000000"/>
        </w:rPr>
        <w:t xml:space="preserve">using </w:t>
      </w:r>
      <w:r w:rsidR="00655AD6" w:rsidRPr="006D0626">
        <w:rPr>
          <w:rFonts w:ascii="Arial" w:hAnsi="Arial" w:cs="Arial"/>
          <w:color w:val="000000"/>
        </w:rPr>
        <w:t xml:space="preserve">the formula described </w:t>
      </w:r>
      <w:r w:rsidR="00E3578E" w:rsidRPr="006D0626">
        <w:rPr>
          <w:rFonts w:ascii="Arial" w:hAnsi="Arial" w:cs="Arial"/>
          <w:color w:val="000000"/>
        </w:rPr>
        <w:t>above</w:t>
      </w:r>
      <w:r w:rsidR="00655AD6" w:rsidRPr="006D0626">
        <w:rPr>
          <w:rFonts w:ascii="Arial" w:hAnsi="Arial" w:cs="Arial"/>
          <w:color w:val="000000"/>
        </w:rPr>
        <w:t>.</w:t>
      </w:r>
    </w:p>
    <w:p w:rsidR="0067722A" w:rsidRPr="006D0626" w:rsidRDefault="0067722A" w:rsidP="0067722A">
      <w:pPr>
        <w:pStyle w:val="ListParagraph"/>
        <w:rPr>
          <w:rFonts w:ascii="Arial" w:hAnsi="Arial" w:cs="Arial"/>
          <w:strike/>
          <w:color w:val="000000"/>
        </w:rPr>
      </w:pPr>
    </w:p>
    <w:p w:rsidR="0067722A" w:rsidRPr="0067722A" w:rsidRDefault="0067722A" w:rsidP="00DA0058">
      <w:pPr>
        <w:pStyle w:val="ListParagraph"/>
        <w:numPr>
          <w:ilvl w:val="0"/>
          <w:numId w:val="5"/>
        </w:numPr>
        <w:ind w:left="720"/>
        <w:rPr>
          <w:rFonts w:ascii="Arial" w:hAnsi="Arial" w:cs="Arial"/>
          <w:color w:val="000000"/>
        </w:rPr>
      </w:pPr>
      <w:r w:rsidRPr="0067722A">
        <w:rPr>
          <w:rFonts w:ascii="Arial" w:hAnsi="Arial" w:cs="Arial"/>
          <w:color w:val="000000"/>
        </w:rPr>
        <w:t xml:space="preserve">Within 45 days of the retirement income distribution, as required by the Randolph Sheppard Act and as one of the aspects verified by the Rehabilitation Services Administration – US Department of Education (RSA) during their audits of State BEP Programs, operators are required to provide the Bureau documentation of the deposit made to a retirement fund of their choosing.  </w:t>
      </w:r>
    </w:p>
    <w:p w:rsidR="0067722A" w:rsidRPr="006D0626" w:rsidRDefault="0067722A" w:rsidP="0067722A">
      <w:pPr>
        <w:pStyle w:val="ListParagraph"/>
        <w:rPr>
          <w:rFonts w:ascii="Arial" w:hAnsi="Arial" w:cs="Arial"/>
          <w:strike/>
          <w:color w:val="000000"/>
        </w:rPr>
      </w:pPr>
    </w:p>
    <w:p w:rsidR="0067722A" w:rsidRDefault="0067722A" w:rsidP="00DA0058">
      <w:pPr>
        <w:pStyle w:val="ListParagraph"/>
        <w:numPr>
          <w:ilvl w:val="0"/>
          <w:numId w:val="5"/>
        </w:numPr>
        <w:ind w:left="720"/>
        <w:rPr>
          <w:rFonts w:ascii="Arial" w:hAnsi="Arial" w:cs="Arial"/>
        </w:rPr>
      </w:pPr>
      <w:r w:rsidRPr="00F45863">
        <w:rPr>
          <w:rFonts w:ascii="Arial" w:hAnsi="Arial" w:cs="Arial"/>
        </w:rPr>
        <w:t>Operators are responsible for any income t</w:t>
      </w:r>
      <w:r>
        <w:rPr>
          <w:rFonts w:ascii="Arial" w:hAnsi="Arial" w:cs="Arial"/>
        </w:rPr>
        <w:t xml:space="preserve">ax liability resulting from the </w:t>
      </w:r>
      <w:r w:rsidRPr="00F45863">
        <w:rPr>
          <w:rFonts w:ascii="Arial" w:hAnsi="Arial" w:cs="Arial"/>
        </w:rPr>
        <w:t xml:space="preserve">conveyance. </w:t>
      </w:r>
    </w:p>
    <w:p w:rsidR="007B42DA" w:rsidRDefault="007B42DA" w:rsidP="007B42DA">
      <w:pPr>
        <w:rPr>
          <w:rFonts w:ascii="Arial" w:hAnsi="Arial" w:cs="Arial"/>
        </w:rPr>
      </w:pPr>
    </w:p>
    <w:p w:rsidR="001F65F8" w:rsidRPr="00D412DD" w:rsidRDefault="00A15836" w:rsidP="00DA0058">
      <w:pPr>
        <w:pStyle w:val="ListParagraph"/>
        <w:numPr>
          <w:ilvl w:val="0"/>
          <w:numId w:val="5"/>
        </w:numPr>
        <w:ind w:left="630" w:hanging="270"/>
        <w:rPr>
          <w:rFonts w:ascii="Arial" w:hAnsi="Arial" w:cs="Arial"/>
        </w:rPr>
      </w:pPr>
      <w:r w:rsidRPr="00D412DD">
        <w:rPr>
          <w:rFonts w:ascii="Arial" w:hAnsi="Arial" w:cs="Arial"/>
        </w:rPr>
        <w:t xml:space="preserve">Operators are advised to contact a reputable investment firm, insurance company, bank or financial planner </w:t>
      </w:r>
      <w:r w:rsidRPr="00D51178">
        <w:rPr>
          <w:rFonts w:ascii="Arial" w:hAnsi="Arial" w:cs="Arial"/>
        </w:rPr>
        <w:t xml:space="preserve">if they desire </w:t>
      </w:r>
      <w:r w:rsidRPr="00D412DD">
        <w:rPr>
          <w:rFonts w:ascii="Arial" w:hAnsi="Arial" w:cs="Arial"/>
        </w:rPr>
        <w:t xml:space="preserve">professional advice regarding retirement income planning.  </w:t>
      </w:r>
    </w:p>
    <w:p w:rsidR="00537DA9" w:rsidRPr="00537DA9" w:rsidRDefault="00537DA9" w:rsidP="00537DA9"/>
    <w:p w:rsidR="00537DA9" w:rsidRPr="00537DA9" w:rsidRDefault="00537DA9" w:rsidP="00537DA9"/>
    <w:p w:rsidR="00CF0205" w:rsidRDefault="00CF0205" w:rsidP="00CF0205">
      <w:r w:rsidRPr="00537DA9">
        <w:br w:type="page"/>
      </w:r>
    </w:p>
    <w:p w:rsidR="00CF0205" w:rsidRDefault="00CF0205" w:rsidP="00CF0205"/>
    <w:p w:rsidR="006039C4" w:rsidRDefault="007D554B" w:rsidP="00CE3CEC">
      <w:pPr>
        <w:ind w:left="-540"/>
      </w:pPr>
      <w:r w:rsidRPr="00A678C8">
        <w:rPr>
          <w:noProof/>
        </w:rPr>
        <w:drawing>
          <wp:inline distT="0" distB="0" distL="0" distR="0">
            <wp:extent cx="7190740" cy="381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0740" cy="3818255"/>
                    </a:xfrm>
                    <a:prstGeom prst="rect">
                      <a:avLst/>
                    </a:prstGeom>
                    <a:noFill/>
                    <a:ln>
                      <a:noFill/>
                    </a:ln>
                  </pic:spPr>
                </pic:pic>
              </a:graphicData>
            </a:graphic>
          </wp:inline>
        </w:drawing>
      </w:r>
    </w:p>
    <w:p w:rsidR="006039C4" w:rsidRDefault="006039C4" w:rsidP="006039C4"/>
    <w:p w:rsidR="006039C4" w:rsidRDefault="006039C4" w:rsidP="006039C4"/>
    <w:p w:rsidR="006039C4" w:rsidRDefault="007D554B" w:rsidP="006039C4">
      <w:r>
        <w:rPr>
          <w:noProof/>
        </w:rPr>
        <mc:AlternateContent>
          <mc:Choice Requires="wps">
            <w:drawing>
              <wp:anchor distT="0" distB="0" distL="114300" distR="114300" simplePos="0" relativeHeight="251657728" behindDoc="1" locked="0" layoutInCell="1" allowOverlap="1">
                <wp:simplePos x="0" y="0"/>
                <wp:positionH relativeFrom="column">
                  <wp:posOffset>2085975</wp:posOffset>
                </wp:positionH>
                <wp:positionV relativeFrom="paragraph">
                  <wp:posOffset>144145</wp:posOffset>
                </wp:positionV>
                <wp:extent cx="4105275" cy="27717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77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B02D" id="Rectangle 4" o:spid="_x0000_s1026" style="position:absolute;margin-left:164.25pt;margin-top:11.35pt;width:323.25pt;height:2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CkIA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"/>
            </w:pict>
          </mc:Fallback>
        </mc:AlternateContent>
      </w:r>
    </w:p>
    <w:p w:rsidR="006039C4" w:rsidRDefault="006039C4" w:rsidP="006039C4">
      <w:pPr>
        <w:jc w:val="center"/>
      </w:pPr>
    </w:p>
    <w:p w:rsidR="006039C4" w:rsidRPr="00CF0205" w:rsidRDefault="006039C4" w:rsidP="006039C4">
      <w:pPr>
        <w:jc w:val="right"/>
        <w:rPr>
          <w:u w:val="single"/>
        </w:rPr>
      </w:pPr>
      <w:r w:rsidRPr="00CF0205">
        <w:rPr>
          <w:u w:val="single"/>
        </w:rPr>
        <w:t>APPROVED BY</w:t>
      </w:r>
      <w:r>
        <w:rPr>
          <w:u w:val="single"/>
        </w:rPr>
        <w:t xml:space="preserve"> </w:t>
      </w:r>
    </w:p>
    <w:p w:rsidR="006039C4" w:rsidRDefault="006039C4" w:rsidP="006039C4">
      <w:pPr>
        <w:jc w:val="right"/>
      </w:pPr>
    </w:p>
    <w:p w:rsidR="006039C4" w:rsidRDefault="006039C4" w:rsidP="006039C4">
      <w:pPr>
        <w:jc w:val="right"/>
      </w:pPr>
      <w:r>
        <w:t>United States Department of Education</w:t>
      </w:r>
    </w:p>
    <w:p w:rsidR="006039C4" w:rsidRDefault="006039C4" w:rsidP="006039C4">
      <w:pPr>
        <w:jc w:val="right"/>
      </w:pPr>
      <w:r>
        <w:t>Office of Special Education and Rehabilitative Services</w:t>
      </w:r>
    </w:p>
    <w:p w:rsidR="006039C4" w:rsidRDefault="006039C4" w:rsidP="006039C4">
      <w:pPr>
        <w:jc w:val="right"/>
      </w:pPr>
      <w:r>
        <w:t xml:space="preserve">Rehabilitation Services Administration </w:t>
      </w:r>
    </w:p>
    <w:p w:rsidR="006039C4" w:rsidRDefault="006039C4" w:rsidP="006039C4">
      <w:pPr>
        <w:jc w:val="right"/>
      </w:pPr>
    </w:p>
    <w:p w:rsidR="006039C4" w:rsidRPr="00CF0205" w:rsidRDefault="006039C4" w:rsidP="006039C4">
      <w:pPr>
        <w:jc w:val="right"/>
        <w:rPr>
          <w:u w:val="single"/>
        </w:rPr>
      </w:pPr>
      <w:r>
        <w:rPr>
          <w:u w:val="single"/>
        </w:rPr>
        <w:t>DATE OF APPROVAL</w:t>
      </w:r>
      <w:r w:rsidRPr="00CF0205">
        <w:rPr>
          <w:u w:val="single"/>
        </w:rPr>
        <w:t xml:space="preserve"> </w:t>
      </w:r>
    </w:p>
    <w:p w:rsidR="006039C4" w:rsidRDefault="006039C4" w:rsidP="006039C4">
      <w:pPr>
        <w:jc w:val="right"/>
      </w:pPr>
    </w:p>
    <w:p w:rsidR="006039C4" w:rsidRDefault="006039C4" w:rsidP="006039C4">
      <w:pPr>
        <w:jc w:val="right"/>
      </w:pPr>
      <w:r>
        <w:t>February 23, 2015</w:t>
      </w:r>
    </w:p>
    <w:p w:rsidR="006039C4" w:rsidRDefault="006039C4" w:rsidP="006039C4">
      <w:pPr>
        <w:jc w:val="right"/>
      </w:pPr>
    </w:p>
    <w:p w:rsidR="006039C4" w:rsidRPr="00CF0205" w:rsidRDefault="006039C4" w:rsidP="006039C4">
      <w:pPr>
        <w:jc w:val="right"/>
        <w:rPr>
          <w:u w:val="single"/>
        </w:rPr>
      </w:pPr>
      <w:r w:rsidRPr="00CF0205">
        <w:rPr>
          <w:u w:val="single"/>
        </w:rPr>
        <w:t xml:space="preserve">SIGNED BY </w:t>
      </w:r>
    </w:p>
    <w:p w:rsidR="006039C4" w:rsidRDefault="006039C4" w:rsidP="006039C4">
      <w:pPr>
        <w:jc w:val="right"/>
      </w:pPr>
    </w:p>
    <w:p w:rsidR="006039C4" w:rsidRDefault="006039C4" w:rsidP="006039C4">
      <w:pPr>
        <w:jc w:val="right"/>
      </w:pPr>
      <w:r>
        <w:t xml:space="preserve">Janet L. LaBreck, Commissioner </w:t>
      </w:r>
    </w:p>
    <w:p w:rsidR="006039C4" w:rsidRDefault="006039C4" w:rsidP="006039C4">
      <w:pPr>
        <w:jc w:val="right"/>
        <w:rPr>
          <w:sz w:val="14"/>
        </w:rPr>
      </w:pPr>
    </w:p>
    <w:p w:rsidR="006039C4" w:rsidRPr="00B905DE" w:rsidRDefault="006039C4" w:rsidP="006039C4">
      <w:pPr>
        <w:jc w:val="right"/>
        <w:rPr>
          <w:sz w:val="10"/>
        </w:rPr>
      </w:pPr>
      <w:r w:rsidRPr="00B905DE">
        <w:rPr>
          <w:sz w:val="14"/>
        </w:rPr>
        <w:t>(A</w:t>
      </w:r>
      <w:r>
        <w:rPr>
          <w:sz w:val="14"/>
        </w:rPr>
        <w:t>pproval letter a</w:t>
      </w:r>
      <w:r w:rsidRPr="00B905DE">
        <w:rPr>
          <w:sz w:val="14"/>
        </w:rPr>
        <w:t>ttached</w:t>
      </w:r>
      <w:r>
        <w:rPr>
          <w:sz w:val="14"/>
        </w:rPr>
        <w:t xml:space="preserve">, </w:t>
      </w:r>
      <w:r w:rsidRPr="00B905DE">
        <w:rPr>
          <w:sz w:val="14"/>
        </w:rPr>
        <w:t>p</w:t>
      </w:r>
      <w:r>
        <w:rPr>
          <w:sz w:val="14"/>
        </w:rPr>
        <w:t>age</w:t>
      </w:r>
      <w:r w:rsidRPr="00B905DE">
        <w:rPr>
          <w:sz w:val="14"/>
        </w:rPr>
        <w:t xml:space="preserve"> 5 of this document)</w:t>
      </w:r>
    </w:p>
    <w:p w:rsidR="00CF0205" w:rsidRPr="00CF0205" w:rsidRDefault="00CF0205" w:rsidP="00CF0205">
      <w:r>
        <w:br w:type="page"/>
      </w:r>
      <w:r w:rsidR="007D554B" w:rsidRPr="00CF0205">
        <w:rPr>
          <w:noProof/>
        </w:rPr>
        <w:lastRenderedPageBreak/>
        <w:drawing>
          <wp:inline distT="0" distB="0" distL="0" distR="0">
            <wp:extent cx="5939790" cy="7680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7680960"/>
                    </a:xfrm>
                    <a:prstGeom prst="rect">
                      <a:avLst/>
                    </a:prstGeom>
                    <a:noFill/>
                    <a:ln>
                      <a:noFill/>
                    </a:ln>
                  </pic:spPr>
                </pic:pic>
              </a:graphicData>
            </a:graphic>
          </wp:inline>
        </w:drawing>
      </w:r>
    </w:p>
    <w:sectPr w:rsidR="00CF0205" w:rsidRPr="00CF0205" w:rsidSect="00B905DE">
      <w:headerReference w:type="default" r:id="rId10"/>
      <w:footerReference w:type="default" r:id="rId11"/>
      <w:pgSz w:w="12240" w:h="15840"/>
      <w:pgMar w:top="1350" w:right="1440" w:bottom="1080" w:left="1440" w:header="450" w:footer="2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AC" w:rsidRDefault="00F347AC" w:rsidP="00F03A3C">
      <w:r>
        <w:separator/>
      </w:r>
    </w:p>
  </w:endnote>
  <w:endnote w:type="continuationSeparator" w:id="0">
    <w:p w:rsidR="00F347AC" w:rsidRDefault="00F347AC" w:rsidP="00F0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10" w:rsidRPr="00954110" w:rsidRDefault="00954110" w:rsidP="00954110"/>
  <w:tbl>
    <w:tblPr>
      <w:tblW w:w="0" w:type="auto"/>
      <w:tblInd w:w="108" w:type="dxa"/>
      <w:tblLook w:val="0000" w:firstRow="0" w:lastRow="0" w:firstColumn="0" w:lastColumn="0" w:noHBand="0" w:noVBand="0"/>
    </w:tblPr>
    <w:tblGrid>
      <w:gridCol w:w="6634"/>
      <w:gridCol w:w="2618"/>
    </w:tblGrid>
    <w:tr w:rsidR="00954110" w:rsidRPr="00537DA9" w:rsidTr="006D0626">
      <w:tblPrEx>
        <w:tblCellMar>
          <w:top w:w="0" w:type="dxa"/>
          <w:bottom w:w="0" w:type="dxa"/>
        </w:tblCellMar>
      </w:tblPrEx>
      <w:tc>
        <w:tcPr>
          <w:tcW w:w="6720" w:type="dxa"/>
          <w:tcBorders>
            <w:top w:val="single" w:sz="12" w:space="0" w:color="auto"/>
          </w:tcBorders>
        </w:tcPr>
        <w:p w:rsidR="00954110" w:rsidRPr="00537DA9" w:rsidRDefault="00954110" w:rsidP="00537DA9">
          <w:pPr>
            <w:tabs>
              <w:tab w:val="center" w:pos="4320"/>
              <w:tab w:val="right" w:pos="8640"/>
            </w:tabs>
            <w:rPr>
              <w:rFonts w:ascii="Calibri" w:hAnsi="Calibri" w:cs="Arial"/>
              <w:bCs/>
            </w:rPr>
          </w:pPr>
          <w:r w:rsidRPr="00537DA9">
            <w:rPr>
              <w:rFonts w:ascii="Calibri" w:hAnsi="Calibri" w:cs="Arial"/>
              <w:bCs/>
            </w:rPr>
            <w:t xml:space="preserve">4.15 BEN Retirement Income Policy </w:t>
          </w:r>
        </w:p>
      </w:tc>
      <w:tc>
        <w:tcPr>
          <w:tcW w:w="2640" w:type="dxa"/>
          <w:tcBorders>
            <w:top w:val="single" w:sz="12" w:space="0" w:color="auto"/>
          </w:tcBorders>
        </w:tcPr>
        <w:p w:rsidR="00954110" w:rsidRPr="00537DA9" w:rsidRDefault="00537DA9" w:rsidP="00537DA9">
          <w:pPr>
            <w:tabs>
              <w:tab w:val="center" w:pos="4320"/>
              <w:tab w:val="right" w:pos="8640"/>
            </w:tabs>
            <w:jc w:val="right"/>
            <w:rPr>
              <w:rFonts w:ascii="Calibri" w:hAnsi="Calibri"/>
              <w:sz w:val="22"/>
              <w:szCs w:val="22"/>
            </w:rPr>
          </w:pPr>
          <w:r w:rsidRPr="00537DA9">
            <w:rPr>
              <w:rFonts w:ascii="Calibri" w:hAnsi="Calibri"/>
              <w:sz w:val="22"/>
              <w:szCs w:val="22"/>
            </w:rPr>
            <w:t xml:space="preserve">Effective Date: </w:t>
          </w:r>
          <w:r>
            <w:rPr>
              <w:rFonts w:ascii="Calibri" w:hAnsi="Calibri"/>
              <w:sz w:val="22"/>
              <w:szCs w:val="22"/>
            </w:rPr>
            <w:t>06/25/2015</w:t>
          </w:r>
        </w:p>
      </w:tc>
    </w:tr>
  </w:tbl>
  <w:p w:rsidR="00537DA9" w:rsidRPr="00537DA9" w:rsidRDefault="00537DA9" w:rsidP="00537DA9">
    <w:pPr>
      <w:tabs>
        <w:tab w:val="center" w:pos="4320"/>
        <w:tab w:val="right" w:pos="8640"/>
      </w:tabs>
      <w:jc w:val="center"/>
      <w:rPr>
        <w:rFonts w:ascii="Calibri" w:hAnsi="Calibri"/>
        <w:sz w:val="22"/>
        <w:szCs w:val="22"/>
      </w:rPr>
    </w:pPr>
    <w:r w:rsidRPr="00537DA9">
      <w:rPr>
        <w:rFonts w:ascii="Calibri" w:hAnsi="Calibri"/>
        <w:sz w:val="22"/>
        <w:szCs w:val="22"/>
      </w:rPr>
      <w:t xml:space="preserve">Page </w:t>
    </w:r>
    <w:r w:rsidRPr="00537DA9">
      <w:rPr>
        <w:rFonts w:ascii="Calibri" w:hAnsi="Calibri"/>
        <w:b/>
        <w:bCs/>
        <w:sz w:val="22"/>
        <w:szCs w:val="22"/>
      </w:rPr>
      <w:fldChar w:fldCharType="begin"/>
    </w:r>
    <w:r w:rsidRPr="00537DA9">
      <w:rPr>
        <w:rFonts w:ascii="Calibri" w:hAnsi="Calibri"/>
        <w:b/>
        <w:bCs/>
        <w:sz w:val="22"/>
        <w:szCs w:val="22"/>
      </w:rPr>
      <w:instrText xml:space="preserve"> PAGE </w:instrText>
    </w:r>
    <w:r w:rsidRPr="00537DA9">
      <w:rPr>
        <w:rFonts w:ascii="Calibri" w:hAnsi="Calibri"/>
        <w:b/>
        <w:bCs/>
        <w:sz w:val="22"/>
        <w:szCs w:val="22"/>
      </w:rPr>
      <w:fldChar w:fldCharType="separate"/>
    </w:r>
    <w:r w:rsidR="007D554B">
      <w:rPr>
        <w:rFonts w:ascii="Calibri" w:hAnsi="Calibri"/>
        <w:b/>
        <w:bCs/>
        <w:noProof/>
        <w:sz w:val="22"/>
        <w:szCs w:val="22"/>
      </w:rPr>
      <w:t>1</w:t>
    </w:r>
    <w:r w:rsidRPr="00537DA9">
      <w:rPr>
        <w:rFonts w:ascii="Calibri" w:hAnsi="Calibri"/>
        <w:b/>
        <w:bCs/>
        <w:sz w:val="22"/>
        <w:szCs w:val="22"/>
      </w:rPr>
      <w:fldChar w:fldCharType="end"/>
    </w:r>
    <w:r w:rsidRPr="00537DA9">
      <w:rPr>
        <w:rFonts w:ascii="Calibri" w:hAnsi="Calibri"/>
        <w:sz w:val="22"/>
        <w:szCs w:val="22"/>
      </w:rPr>
      <w:t xml:space="preserve"> of </w:t>
    </w:r>
    <w:r w:rsidRPr="00537DA9">
      <w:rPr>
        <w:rFonts w:ascii="Calibri" w:hAnsi="Calibri"/>
        <w:b/>
        <w:bCs/>
        <w:sz w:val="22"/>
        <w:szCs w:val="22"/>
      </w:rPr>
      <w:fldChar w:fldCharType="begin"/>
    </w:r>
    <w:r w:rsidRPr="00537DA9">
      <w:rPr>
        <w:rFonts w:ascii="Calibri" w:hAnsi="Calibri"/>
        <w:b/>
        <w:bCs/>
        <w:sz w:val="22"/>
        <w:szCs w:val="22"/>
      </w:rPr>
      <w:instrText xml:space="preserve"> NUMPAGES  </w:instrText>
    </w:r>
    <w:r w:rsidRPr="00537DA9">
      <w:rPr>
        <w:rFonts w:ascii="Calibri" w:hAnsi="Calibri"/>
        <w:b/>
        <w:bCs/>
        <w:sz w:val="22"/>
        <w:szCs w:val="22"/>
      </w:rPr>
      <w:fldChar w:fldCharType="separate"/>
    </w:r>
    <w:r w:rsidR="007D554B">
      <w:rPr>
        <w:rFonts w:ascii="Calibri" w:hAnsi="Calibri"/>
        <w:b/>
        <w:bCs/>
        <w:noProof/>
        <w:sz w:val="22"/>
        <w:szCs w:val="22"/>
      </w:rPr>
      <w:t>5</w:t>
    </w:r>
    <w:r w:rsidRPr="00537DA9">
      <w:rPr>
        <w:rFonts w:ascii="Calibri" w:hAnsi="Calibri"/>
        <w:b/>
        <w:bCs/>
        <w:sz w:val="22"/>
        <w:szCs w:val="22"/>
      </w:rPr>
      <w:fldChar w:fldCharType="end"/>
    </w:r>
  </w:p>
  <w:p w:rsidR="00954110" w:rsidRDefault="0095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AC" w:rsidRDefault="00F347AC" w:rsidP="00F03A3C">
      <w:r>
        <w:separator/>
      </w:r>
    </w:p>
  </w:footnote>
  <w:footnote w:type="continuationSeparator" w:id="0">
    <w:p w:rsidR="00F347AC" w:rsidRDefault="00F347AC" w:rsidP="00F0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F03A3C" w:rsidRPr="00F03A3C" w:rsidTr="00E86654">
      <w:tblPrEx>
        <w:tblCellMar>
          <w:top w:w="0" w:type="dxa"/>
          <w:bottom w:w="0" w:type="dxa"/>
        </w:tblCellMar>
      </w:tblPrEx>
      <w:tc>
        <w:tcPr>
          <w:tcW w:w="6840" w:type="dxa"/>
        </w:tcPr>
        <w:p w:rsidR="00F03A3C" w:rsidRPr="006E1933" w:rsidRDefault="00F03A3C" w:rsidP="00F03A3C">
          <w:pPr>
            <w:tabs>
              <w:tab w:val="center" w:pos="4320"/>
              <w:tab w:val="right" w:pos="8640"/>
            </w:tabs>
            <w:rPr>
              <w:rFonts w:ascii="Arial" w:hAnsi="Arial" w:cs="Arial"/>
              <w:b/>
              <w:bCs/>
              <w:sz w:val="36"/>
            </w:rPr>
          </w:pPr>
          <w:r w:rsidRPr="006E1933">
            <w:rPr>
              <w:rFonts w:ascii="Arial" w:hAnsi="Arial" w:cs="Arial"/>
              <w:b/>
              <w:bCs/>
              <w:sz w:val="36"/>
            </w:rPr>
            <w:t>REHABILITATION DIVISION</w:t>
          </w:r>
          <w:r w:rsidRPr="006E1933">
            <w:rPr>
              <w:rFonts w:ascii="Arial" w:hAnsi="Arial" w:cs="Arial"/>
              <w:b/>
              <w:bCs/>
              <w:sz w:val="36"/>
            </w:rPr>
            <w:tab/>
          </w:r>
          <w:r w:rsidRPr="006E1933">
            <w:rPr>
              <w:rFonts w:ascii="Arial" w:hAnsi="Arial" w:cs="Arial"/>
              <w:b/>
              <w:bCs/>
              <w:sz w:val="36"/>
            </w:rPr>
            <w:tab/>
          </w:r>
        </w:p>
        <w:p w:rsidR="00F03A3C" w:rsidRPr="00F03A3C" w:rsidRDefault="00F03A3C" w:rsidP="00F03A3C">
          <w:pPr>
            <w:tabs>
              <w:tab w:val="center" w:pos="4320"/>
              <w:tab w:val="right" w:pos="8640"/>
            </w:tabs>
            <w:rPr>
              <w:rFonts w:ascii="Arial" w:hAnsi="Arial" w:cs="Arial"/>
              <w:b/>
              <w:bCs/>
              <w:sz w:val="32"/>
            </w:rPr>
          </w:pPr>
          <w:r w:rsidRPr="00F03A3C">
            <w:rPr>
              <w:rFonts w:ascii="Arial" w:hAnsi="Arial" w:cs="Arial"/>
              <w:b/>
              <w:bCs/>
              <w:sz w:val="32"/>
            </w:rPr>
            <w:t>GENERAL ADMINISTRATIVE MANUAL</w:t>
          </w:r>
        </w:p>
        <w:p w:rsidR="00F03A3C" w:rsidRPr="00F03A3C" w:rsidRDefault="00F03A3C" w:rsidP="00537DA9">
          <w:pPr>
            <w:tabs>
              <w:tab w:val="center" w:pos="4320"/>
              <w:tab w:val="right" w:pos="8640"/>
            </w:tabs>
            <w:rPr>
              <w:rFonts w:ascii="Arial" w:hAnsi="Arial"/>
              <w:b/>
              <w:sz w:val="28"/>
            </w:rPr>
          </w:pPr>
          <w:r w:rsidRPr="00F03A3C">
            <w:rPr>
              <w:rFonts w:ascii="Arial" w:hAnsi="Arial"/>
              <w:b/>
              <w:sz w:val="28"/>
            </w:rPr>
            <w:t>4.</w:t>
          </w:r>
          <w:r w:rsidR="00BA5AEF">
            <w:rPr>
              <w:rFonts w:ascii="Arial" w:hAnsi="Arial"/>
              <w:b/>
              <w:sz w:val="28"/>
            </w:rPr>
            <w:t>15</w:t>
          </w:r>
          <w:r w:rsidRPr="00F03A3C">
            <w:rPr>
              <w:rFonts w:ascii="Arial" w:hAnsi="Arial"/>
              <w:b/>
              <w:sz w:val="28"/>
            </w:rPr>
            <w:t xml:space="preserve"> BEN </w:t>
          </w:r>
          <w:r w:rsidR="00BA5AEF">
            <w:rPr>
              <w:rFonts w:ascii="Arial" w:hAnsi="Arial"/>
              <w:b/>
              <w:sz w:val="28"/>
            </w:rPr>
            <w:t>Retirement</w:t>
          </w:r>
          <w:r w:rsidR="00DC2C08">
            <w:rPr>
              <w:rFonts w:ascii="Arial" w:hAnsi="Arial"/>
              <w:b/>
              <w:sz w:val="28"/>
            </w:rPr>
            <w:t xml:space="preserve"> Income</w:t>
          </w:r>
          <w:r w:rsidRPr="00F03A3C">
            <w:rPr>
              <w:rFonts w:ascii="Arial" w:hAnsi="Arial"/>
              <w:b/>
              <w:sz w:val="28"/>
            </w:rPr>
            <w:t xml:space="preserve"> Policy</w:t>
          </w:r>
        </w:p>
      </w:tc>
      <w:tc>
        <w:tcPr>
          <w:tcW w:w="2628" w:type="dxa"/>
        </w:tcPr>
        <w:p w:rsidR="00F03A3C" w:rsidRPr="00F03A3C" w:rsidRDefault="007D554B" w:rsidP="00F03A3C">
          <w:pPr>
            <w:tabs>
              <w:tab w:val="center" w:pos="4320"/>
              <w:tab w:val="right" w:pos="8640"/>
            </w:tabs>
            <w:jc w:val="center"/>
          </w:pPr>
          <w:r w:rsidRPr="006E1933">
            <w:rPr>
              <w:rFonts w:ascii="Arial" w:hAnsi="Arial" w:cs="Arial"/>
              <w:b/>
              <w:noProof/>
              <w:sz w:val="40"/>
            </w:rPr>
            <w:drawing>
              <wp:inline distT="0" distB="0" distL="0" distR="0">
                <wp:extent cx="1814195" cy="739140"/>
                <wp:effectExtent l="0" t="0" r="0" b="0"/>
                <wp:docPr id="3"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739140"/>
                        </a:xfrm>
                        <a:prstGeom prst="rect">
                          <a:avLst/>
                        </a:prstGeom>
                        <a:noFill/>
                        <a:ln>
                          <a:noFill/>
                        </a:ln>
                      </pic:spPr>
                    </pic:pic>
                  </a:graphicData>
                </a:graphic>
              </wp:inline>
            </w:drawing>
          </w:r>
        </w:p>
      </w:tc>
    </w:tr>
  </w:tbl>
  <w:p w:rsidR="00F03A3C" w:rsidRDefault="00F0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50A5"/>
    <w:multiLevelType w:val="hybridMultilevel"/>
    <w:tmpl w:val="E67EE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FCE"/>
    <w:multiLevelType w:val="hybridMultilevel"/>
    <w:tmpl w:val="4058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555E"/>
    <w:multiLevelType w:val="hybridMultilevel"/>
    <w:tmpl w:val="DD104C66"/>
    <w:lvl w:ilvl="0" w:tplc="30A6B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713FF"/>
    <w:multiLevelType w:val="hybridMultilevel"/>
    <w:tmpl w:val="A4CE2282"/>
    <w:lvl w:ilvl="0" w:tplc="EDC2B1AC">
      <w:start w:val="1"/>
      <w:numFmt w:val="decimal"/>
      <w:lvlText w:val="%1."/>
      <w:lvlJc w:val="left"/>
      <w:pPr>
        <w:ind w:left="810" w:hanging="360"/>
      </w:pPr>
      <w:rPr>
        <w:rFonts w:hint="default"/>
        <w:strike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A663F8C"/>
    <w:multiLevelType w:val="hybridMultilevel"/>
    <w:tmpl w:val="E67EE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3E7B7F"/>
    <w:multiLevelType w:val="hybridMultilevel"/>
    <w:tmpl w:val="24E6F166"/>
    <w:lvl w:ilvl="0" w:tplc="4B6E11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2E41F7E"/>
    <w:multiLevelType w:val="hybridMultilevel"/>
    <w:tmpl w:val="4680F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C41309"/>
    <w:multiLevelType w:val="hybridMultilevel"/>
    <w:tmpl w:val="CCD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F56C2"/>
    <w:multiLevelType w:val="hybridMultilevel"/>
    <w:tmpl w:val="5BB257D6"/>
    <w:lvl w:ilvl="0" w:tplc="C860B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8"/>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3C"/>
    <w:rsid w:val="00001219"/>
    <w:rsid w:val="00021614"/>
    <w:rsid w:val="000279EE"/>
    <w:rsid w:val="00073482"/>
    <w:rsid w:val="00096373"/>
    <w:rsid w:val="000A1EB0"/>
    <w:rsid w:val="000C04F6"/>
    <w:rsid w:val="000D37E9"/>
    <w:rsid w:val="000D5894"/>
    <w:rsid w:val="000F2BFB"/>
    <w:rsid w:val="001F0831"/>
    <w:rsid w:val="001F65F8"/>
    <w:rsid w:val="00296D1D"/>
    <w:rsid w:val="002C6544"/>
    <w:rsid w:val="002D737D"/>
    <w:rsid w:val="002E44FF"/>
    <w:rsid w:val="002F6FB9"/>
    <w:rsid w:val="00320AEC"/>
    <w:rsid w:val="003421EC"/>
    <w:rsid w:val="003D563D"/>
    <w:rsid w:val="0040442B"/>
    <w:rsid w:val="004A27EA"/>
    <w:rsid w:val="004E326F"/>
    <w:rsid w:val="004E4727"/>
    <w:rsid w:val="0053319B"/>
    <w:rsid w:val="00537DA9"/>
    <w:rsid w:val="00543F17"/>
    <w:rsid w:val="00574331"/>
    <w:rsid w:val="005A1685"/>
    <w:rsid w:val="005C0012"/>
    <w:rsid w:val="005E55A4"/>
    <w:rsid w:val="005F153D"/>
    <w:rsid w:val="006039C4"/>
    <w:rsid w:val="00623DCF"/>
    <w:rsid w:val="00634D53"/>
    <w:rsid w:val="00642047"/>
    <w:rsid w:val="00642AA8"/>
    <w:rsid w:val="00651603"/>
    <w:rsid w:val="00655AD6"/>
    <w:rsid w:val="00674FDC"/>
    <w:rsid w:val="0067722A"/>
    <w:rsid w:val="006A706A"/>
    <w:rsid w:val="006D0626"/>
    <w:rsid w:val="006E1933"/>
    <w:rsid w:val="006F7D66"/>
    <w:rsid w:val="00764941"/>
    <w:rsid w:val="00773FCA"/>
    <w:rsid w:val="0078407B"/>
    <w:rsid w:val="00787987"/>
    <w:rsid w:val="007B42DA"/>
    <w:rsid w:val="007B5016"/>
    <w:rsid w:val="007D554B"/>
    <w:rsid w:val="00851383"/>
    <w:rsid w:val="008B2442"/>
    <w:rsid w:val="008C7709"/>
    <w:rsid w:val="00942522"/>
    <w:rsid w:val="00954110"/>
    <w:rsid w:val="009559EB"/>
    <w:rsid w:val="009E7050"/>
    <w:rsid w:val="009F6DA3"/>
    <w:rsid w:val="00A15836"/>
    <w:rsid w:val="00A42A75"/>
    <w:rsid w:val="00A7750A"/>
    <w:rsid w:val="00A7789A"/>
    <w:rsid w:val="00AB7AD3"/>
    <w:rsid w:val="00AE5B2E"/>
    <w:rsid w:val="00AE7798"/>
    <w:rsid w:val="00AF0B72"/>
    <w:rsid w:val="00B07CCB"/>
    <w:rsid w:val="00B14944"/>
    <w:rsid w:val="00B44AE6"/>
    <w:rsid w:val="00B704EF"/>
    <w:rsid w:val="00B905DE"/>
    <w:rsid w:val="00B92063"/>
    <w:rsid w:val="00BA5AEF"/>
    <w:rsid w:val="00C24939"/>
    <w:rsid w:val="00C43B8C"/>
    <w:rsid w:val="00C6155B"/>
    <w:rsid w:val="00C66B72"/>
    <w:rsid w:val="00C673C5"/>
    <w:rsid w:val="00C96FB4"/>
    <w:rsid w:val="00CA7091"/>
    <w:rsid w:val="00CC2613"/>
    <w:rsid w:val="00CC43E4"/>
    <w:rsid w:val="00CD2585"/>
    <w:rsid w:val="00CE3CEC"/>
    <w:rsid w:val="00CF0205"/>
    <w:rsid w:val="00D03C7F"/>
    <w:rsid w:val="00D412DD"/>
    <w:rsid w:val="00D51178"/>
    <w:rsid w:val="00D942DD"/>
    <w:rsid w:val="00DA0058"/>
    <w:rsid w:val="00DA2E06"/>
    <w:rsid w:val="00DC2C08"/>
    <w:rsid w:val="00E3578E"/>
    <w:rsid w:val="00E521F5"/>
    <w:rsid w:val="00E86654"/>
    <w:rsid w:val="00EB298B"/>
    <w:rsid w:val="00EC5174"/>
    <w:rsid w:val="00ED5003"/>
    <w:rsid w:val="00F03A3C"/>
    <w:rsid w:val="00F15698"/>
    <w:rsid w:val="00F347AC"/>
    <w:rsid w:val="00F45863"/>
    <w:rsid w:val="00F658D1"/>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A0FA4B-F2A3-4BE3-8B1B-AF7D9DBE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A3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3C"/>
    <w:pPr>
      <w:tabs>
        <w:tab w:val="center" w:pos="4680"/>
        <w:tab w:val="right" w:pos="9360"/>
      </w:tabs>
    </w:pPr>
  </w:style>
  <w:style w:type="character" w:customStyle="1" w:styleId="HeaderChar">
    <w:name w:val="Header Char"/>
    <w:link w:val="Header"/>
    <w:uiPriority w:val="99"/>
    <w:rsid w:val="00F03A3C"/>
    <w:rPr>
      <w:sz w:val="24"/>
      <w:szCs w:val="24"/>
    </w:rPr>
  </w:style>
  <w:style w:type="paragraph" w:styleId="Footer">
    <w:name w:val="footer"/>
    <w:basedOn w:val="Normal"/>
    <w:link w:val="FooterChar"/>
    <w:uiPriority w:val="99"/>
    <w:unhideWhenUsed/>
    <w:rsid w:val="00F03A3C"/>
    <w:pPr>
      <w:tabs>
        <w:tab w:val="center" w:pos="4680"/>
        <w:tab w:val="right" w:pos="9360"/>
      </w:tabs>
    </w:pPr>
  </w:style>
  <w:style w:type="character" w:customStyle="1" w:styleId="FooterChar">
    <w:name w:val="Footer Char"/>
    <w:link w:val="Footer"/>
    <w:uiPriority w:val="99"/>
    <w:rsid w:val="00F03A3C"/>
    <w:rPr>
      <w:sz w:val="24"/>
      <w:szCs w:val="24"/>
    </w:rPr>
  </w:style>
  <w:style w:type="paragraph" w:styleId="BalloonText">
    <w:name w:val="Balloon Text"/>
    <w:basedOn w:val="Normal"/>
    <w:link w:val="BalloonTextChar"/>
    <w:uiPriority w:val="99"/>
    <w:semiHidden/>
    <w:unhideWhenUsed/>
    <w:rsid w:val="00F03A3C"/>
    <w:rPr>
      <w:rFonts w:ascii="Tahoma" w:hAnsi="Tahoma" w:cs="Tahoma"/>
      <w:sz w:val="16"/>
      <w:szCs w:val="16"/>
    </w:rPr>
  </w:style>
  <w:style w:type="character" w:customStyle="1" w:styleId="BalloonTextChar">
    <w:name w:val="Balloon Text Char"/>
    <w:link w:val="BalloonText"/>
    <w:uiPriority w:val="99"/>
    <w:semiHidden/>
    <w:rsid w:val="00F03A3C"/>
    <w:rPr>
      <w:rFonts w:ascii="Tahoma" w:hAnsi="Tahoma" w:cs="Tahoma"/>
      <w:sz w:val="16"/>
      <w:szCs w:val="16"/>
    </w:rPr>
  </w:style>
  <w:style w:type="paragraph" w:styleId="ListParagraph">
    <w:name w:val="List Paragraph"/>
    <w:basedOn w:val="Normal"/>
    <w:uiPriority w:val="34"/>
    <w:qFormat/>
    <w:rsid w:val="00A1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A871-9C37-45A6-B464-0C43B9AB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Sheila Rasor</cp:lastModifiedBy>
  <cp:revision>2</cp:revision>
  <cp:lastPrinted>2015-06-17T19:43:00Z</cp:lastPrinted>
  <dcterms:created xsi:type="dcterms:W3CDTF">2019-11-01T19:29:00Z</dcterms:created>
  <dcterms:modified xsi:type="dcterms:W3CDTF">2019-11-01T19:29:00Z</dcterms:modified>
</cp:coreProperties>
</file>