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543" w:rsidRPr="006073BB" w:rsidRDefault="00072D41" w:rsidP="00DD64B8">
      <w:pPr>
        <w:rPr>
          <w:rFonts w:ascii="Arial" w:hAnsi="Arial"/>
          <w:b/>
          <w:u w:val="single"/>
        </w:rPr>
      </w:pPr>
      <w:r w:rsidRPr="006073BB">
        <w:rPr>
          <w:rFonts w:ascii="Arial" w:hAnsi="Arial"/>
          <w:b/>
          <w:u w:val="single"/>
        </w:rPr>
        <w:t>P</w:t>
      </w:r>
      <w:bookmarkStart w:id="0" w:name="_GoBack"/>
      <w:bookmarkEnd w:id="0"/>
      <w:r w:rsidRPr="006073BB">
        <w:rPr>
          <w:rFonts w:ascii="Arial" w:hAnsi="Arial"/>
          <w:b/>
          <w:u w:val="single"/>
        </w:rPr>
        <w:t>olicy</w:t>
      </w:r>
    </w:p>
    <w:p w:rsidR="00072D41" w:rsidRDefault="00072D41" w:rsidP="00DD64B8">
      <w:pPr>
        <w:rPr>
          <w:rFonts w:ascii="Arial" w:hAnsi="Arial"/>
        </w:rPr>
      </w:pPr>
    </w:p>
    <w:p w:rsidR="002378AC" w:rsidRPr="00D415D4" w:rsidRDefault="00211800" w:rsidP="00DD64B8">
      <w:pPr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The Bureau of Services to the Blind and Visually Impaired (BSBVI), Business Enterprises of Nevada Program (BEN), </w:t>
      </w:r>
      <w:r w:rsidR="00FF48A6">
        <w:rPr>
          <w:rFonts w:ascii="Arial" w:hAnsi="Arial"/>
        </w:rPr>
        <w:t>as approved by the majority of licensed operators, and</w:t>
      </w:r>
      <w:r w:rsidR="00E72AEA">
        <w:rPr>
          <w:rFonts w:ascii="Arial" w:hAnsi="Arial"/>
        </w:rPr>
        <w:t xml:space="preserve"> approved by a majority of</w:t>
      </w:r>
      <w:r>
        <w:rPr>
          <w:rFonts w:ascii="Arial" w:hAnsi="Arial"/>
        </w:rPr>
        <w:t xml:space="preserve"> the Nevada Committee of Blind Vendors (NCBV), has </w:t>
      </w:r>
      <w:r w:rsidRPr="00D415D4">
        <w:rPr>
          <w:rFonts w:ascii="Arial" w:hAnsi="Arial"/>
          <w:color w:val="000000"/>
        </w:rPr>
        <w:t xml:space="preserve">established a </w:t>
      </w:r>
      <w:r w:rsidR="00B746DC" w:rsidRPr="00D415D4">
        <w:rPr>
          <w:rFonts w:ascii="Arial" w:hAnsi="Arial"/>
          <w:color w:val="000000"/>
        </w:rPr>
        <w:t>Health Care Cost</w:t>
      </w:r>
      <w:r w:rsidRPr="00D415D4">
        <w:rPr>
          <w:rFonts w:ascii="Arial" w:hAnsi="Arial"/>
          <w:color w:val="000000"/>
        </w:rPr>
        <w:t xml:space="preserve"> Reimbursement Policy for all eligible licensed blind operators.  </w:t>
      </w:r>
      <w:r w:rsidR="00B915FF" w:rsidRPr="00D415D4">
        <w:rPr>
          <w:rFonts w:ascii="Arial" w:hAnsi="Arial"/>
          <w:color w:val="000000"/>
        </w:rPr>
        <w:t xml:space="preserve">The total funds available </w:t>
      </w:r>
      <w:r w:rsidR="00FF48A6" w:rsidRPr="00D415D4">
        <w:rPr>
          <w:rFonts w:ascii="Arial" w:hAnsi="Arial"/>
          <w:color w:val="000000"/>
        </w:rPr>
        <w:t xml:space="preserve">each state fiscal year </w:t>
      </w:r>
      <w:r w:rsidR="00B915FF" w:rsidRPr="00D415D4">
        <w:rPr>
          <w:rFonts w:ascii="Arial" w:hAnsi="Arial"/>
          <w:color w:val="000000"/>
        </w:rPr>
        <w:t xml:space="preserve">for </w:t>
      </w:r>
      <w:r w:rsidR="00FF48A6" w:rsidRPr="00D415D4">
        <w:rPr>
          <w:rFonts w:ascii="Arial" w:hAnsi="Arial"/>
          <w:color w:val="000000"/>
        </w:rPr>
        <w:t xml:space="preserve">the </w:t>
      </w:r>
      <w:r w:rsidR="00B915FF" w:rsidRPr="00D415D4">
        <w:rPr>
          <w:rFonts w:ascii="Arial" w:hAnsi="Arial"/>
          <w:color w:val="000000"/>
        </w:rPr>
        <w:t>licensed operator and the members of his/her immediate family shall</w:t>
      </w:r>
      <w:r w:rsidR="002378AC" w:rsidRPr="00D415D4">
        <w:rPr>
          <w:rFonts w:ascii="Arial" w:hAnsi="Arial"/>
          <w:color w:val="000000"/>
        </w:rPr>
        <w:t xml:space="preserve"> be established in accordance with </w:t>
      </w:r>
      <w:r w:rsidRPr="00D415D4">
        <w:rPr>
          <w:rFonts w:ascii="Arial" w:hAnsi="Arial" w:cs="Arial"/>
          <w:color w:val="000000"/>
        </w:rPr>
        <w:t>NAC 426.</w:t>
      </w:r>
      <w:r w:rsidR="00396E0C" w:rsidRPr="00D415D4">
        <w:rPr>
          <w:rFonts w:ascii="Arial" w:hAnsi="Arial" w:cs="Arial"/>
          <w:color w:val="000000"/>
        </w:rPr>
        <w:t>387.</w:t>
      </w:r>
    </w:p>
    <w:p w:rsidR="00B915FF" w:rsidRPr="00D415D4" w:rsidRDefault="002378AC" w:rsidP="00DD64B8">
      <w:pPr>
        <w:rPr>
          <w:rFonts w:ascii="Arial" w:hAnsi="Arial" w:cs="Arial"/>
          <w:color w:val="000000"/>
        </w:rPr>
      </w:pPr>
      <w:r w:rsidRPr="00D415D4">
        <w:rPr>
          <w:rFonts w:ascii="Arial" w:hAnsi="Arial"/>
          <w:color w:val="000000"/>
        </w:rPr>
        <w:t xml:space="preserve"> </w:t>
      </w:r>
    </w:p>
    <w:p w:rsidR="00211800" w:rsidRPr="00D415D4" w:rsidRDefault="00211800" w:rsidP="00211800">
      <w:pPr>
        <w:rPr>
          <w:rFonts w:ascii="Arial" w:hAnsi="Arial"/>
          <w:b/>
          <w:color w:val="000000"/>
          <w:u w:val="single"/>
        </w:rPr>
      </w:pPr>
      <w:r w:rsidRPr="00D415D4">
        <w:rPr>
          <w:rFonts w:ascii="Arial" w:hAnsi="Arial"/>
          <w:b/>
          <w:color w:val="000000"/>
          <w:u w:val="single"/>
        </w:rPr>
        <w:t>Determination</w:t>
      </w:r>
    </w:p>
    <w:p w:rsidR="00211800" w:rsidRPr="00D415D4" w:rsidRDefault="00211800" w:rsidP="00211800">
      <w:pPr>
        <w:rPr>
          <w:rFonts w:ascii="Arial" w:hAnsi="Arial"/>
          <w:b/>
          <w:color w:val="000000"/>
          <w:u w:val="single"/>
        </w:rPr>
      </w:pPr>
    </w:p>
    <w:p w:rsidR="00A01378" w:rsidRPr="00D415D4" w:rsidRDefault="00211800" w:rsidP="00DD64B8">
      <w:pPr>
        <w:rPr>
          <w:rFonts w:ascii="Arial" w:hAnsi="Arial"/>
          <w:color w:val="000000"/>
        </w:rPr>
      </w:pPr>
      <w:r w:rsidRPr="00D415D4">
        <w:rPr>
          <w:rFonts w:ascii="Arial" w:hAnsi="Arial"/>
          <w:color w:val="000000"/>
        </w:rPr>
        <w:t xml:space="preserve">The </w:t>
      </w:r>
      <w:r w:rsidR="00E3794F" w:rsidRPr="00D415D4">
        <w:rPr>
          <w:rFonts w:ascii="Arial" w:hAnsi="Arial"/>
          <w:color w:val="000000"/>
        </w:rPr>
        <w:t xml:space="preserve">annual amount for </w:t>
      </w:r>
      <w:r w:rsidR="003718C9" w:rsidRPr="00D415D4">
        <w:rPr>
          <w:rFonts w:ascii="Arial" w:hAnsi="Arial"/>
          <w:color w:val="000000"/>
        </w:rPr>
        <w:t>health care cost</w:t>
      </w:r>
      <w:r w:rsidR="00BC3E26" w:rsidRPr="00D415D4">
        <w:rPr>
          <w:rFonts w:ascii="Arial" w:hAnsi="Arial"/>
          <w:color w:val="000000"/>
        </w:rPr>
        <w:t xml:space="preserve"> reimbursement </w:t>
      </w:r>
      <w:r w:rsidR="003718C9" w:rsidRPr="00D415D4">
        <w:rPr>
          <w:rFonts w:ascii="Arial" w:hAnsi="Arial"/>
          <w:color w:val="000000"/>
        </w:rPr>
        <w:t xml:space="preserve">will be determined by April of the </w:t>
      </w:r>
      <w:r w:rsidR="00AB6A68" w:rsidRPr="00D415D4">
        <w:rPr>
          <w:rFonts w:ascii="Arial" w:hAnsi="Arial"/>
          <w:color w:val="000000"/>
        </w:rPr>
        <w:t>preceding</w:t>
      </w:r>
      <w:r w:rsidR="003718C9" w:rsidRPr="00D415D4">
        <w:rPr>
          <w:rFonts w:ascii="Arial" w:hAnsi="Arial"/>
          <w:color w:val="000000"/>
        </w:rPr>
        <w:t xml:space="preserve"> year of the start of the biennium and will remain in effect through the biennium.  </w:t>
      </w:r>
      <w:r w:rsidR="002378AC" w:rsidRPr="00D415D4">
        <w:rPr>
          <w:rFonts w:ascii="Arial" w:hAnsi="Arial"/>
          <w:color w:val="000000"/>
        </w:rPr>
        <w:t xml:space="preserve">For example, the amount is to be determined by April 2016 for the SFY18/19 biennial budget request.  This allows for the amount to be included in the biennial budget request and through the legislative process, be approved by the Legislature.  The </w:t>
      </w:r>
      <w:r w:rsidRPr="00D415D4">
        <w:rPr>
          <w:rFonts w:ascii="Arial" w:hAnsi="Arial"/>
          <w:color w:val="000000"/>
        </w:rPr>
        <w:t xml:space="preserve">NCBV </w:t>
      </w:r>
      <w:r w:rsidR="002378AC" w:rsidRPr="00D415D4">
        <w:rPr>
          <w:rFonts w:ascii="Arial" w:hAnsi="Arial"/>
          <w:color w:val="000000"/>
        </w:rPr>
        <w:t>Finance Sub-c</w:t>
      </w:r>
      <w:r w:rsidRPr="00D415D4">
        <w:rPr>
          <w:rFonts w:ascii="Arial" w:hAnsi="Arial"/>
          <w:color w:val="000000"/>
        </w:rPr>
        <w:t xml:space="preserve">ommittee will work with the Bureau in </w:t>
      </w:r>
      <w:r w:rsidR="002378AC" w:rsidRPr="00D415D4">
        <w:rPr>
          <w:rFonts w:ascii="Arial" w:hAnsi="Arial"/>
          <w:color w:val="000000"/>
        </w:rPr>
        <w:t xml:space="preserve">determining </w:t>
      </w:r>
      <w:r w:rsidRPr="00D415D4">
        <w:rPr>
          <w:rFonts w:ascii="Arial" w:hAnsi="Arial"/>
          <w:color w:val="000000"/>
        </w:rPr>
        <w:t>the amount</w:t>
      </w:r>
      <w:r w:rsidR="00967E90" w:rsidRPr="00D415D4">
        <w:rPr>
          <w:rFonts w:ascii="Arial" w:hAnsi="Arial"/>
          <w:color w:val="000000"/>
        </w:rPr>
        <w:t xml:space="preserve"> available for </w:t>
      </w:r>
      <w:r w:rsidR="00B40BF1" w:rsidRPr="00D415D4">
        <w:rPr>
          <w:rFonts w:ascii="Arial" w:hAnsi="Arial"/>
          <w:color w:val="000000"/>
        </w:rPr>
        <w:t>health care cost</w:t>
      </w:r>
      <w:r w:rsidR="002378AC" w:rsidRPr="00D415D4">
        <w:rPr>
          <w:rFonts w:ascii="Arial" w:hAnsi="Arial"/>
          <w:color w:val="000000"/>
        </w:rPr>
        <w:t xml:space="preserve"> </w:t>
      </w:r>
      <w:r w:rsidR="00967E90" w:rsidRPr="00D415D4">
        <w:rPr>
          <w:rFonts w:ascii="Arial" w:hAnsi="Arial"/>
          <w:color w:val="000000"/>
        </w:rPr>
        <w:t>reimbursement</w:t>
      </w:r>
      <w:r w:rsidRPr="00D415D4">
        <w:rPr>
          <w:rFonts w:ascii="Arial" w:hAnsi="Arial"/>
          <w:color w:val="000000"/>
        </w:rPr>
        <w:t xml:space="preserve">. </w:t>
      </w:r>
      <w:r w:rsidR="002378AC" w:rsidRPr="00D415D4">
        <w:rPr>
          <w:rFonts w:ascii="Arial" w:hAnsi="Arial"/>
          <w:color w:val="000000"/>
        </w:rPr>
        <w:t xml:space="preserve">The </w:t>
      </w:r>
      <w:r w:rsidR="008A0282" w:rsidRPr="00D415D4">
        <w:rPr>
          <w:rFonts w:ascii="Arial" w:hAnsi="Arial"/>
          <w:color w:val="000000"/>
        </w:rPr>
        <w:t>NCBV</w:t>
      </w:r>
      <w:r w:rsidRPr="00D415D4">
        <w:rPr>
          <w:rFonts w:ascii="Arial" w:hAnsi="Arial"/>
          <w:color w:val="000000"/>
        </w:rPr>
        <w:t xml:space="preserve"> will discuss</w:t>
      </w:r>
      <w:r w:rsidR="002378AC" w:rsidRPr="00D415D4">
        <w:rPr>
          <w:rFonts w:ascii="Arial" w:hAnsi="Arial"/>
          <w:color w:val="000000"/>
        </w:rPr>
        <w:t xml:space="preserve">, vote, and call for a vote of the majority of licensed operators to adopt the amount available for distribution in the coming biennium. </w:t>
      </w:r>
    </w:p>
    <w:p w:rsidR="00AF7E54" w:rsidRPr="00D415D4" w:rsidRDefault="00AF7E54" w:rsidP="00DD64B8">
      <w:pPr>
        <w:rPr>
          <w:rFonts w:ascii="Arial" w:hAnsi="Arial"/>
          <w:color w:val="000000"/>
        </w:rPr>
      </w:pPr>
    </w:p>
    <w:p w:rsidR="00AF7E54" w:rsidRPr="00D415D4" w:rsidRDefault="00AF7E54" w:rsidP="00DD64B8">
      <w:pPr>
        <w:rPr>
          <w:rFonts w:ascii="Arial" w:hAnsi="Arial"/>
          <w:color w:val="000000"/>
        </w:rPr>
      </w:pPr>
      <w:r w:rsidRPr="00D415D4">
        <w:rPr>
          <w:rFonts w:ascii="Arial" w:hAnsi="Arial"/>
          <w:color w:val="000000"/>
        </w:rPr>
        <w:t xml:space="preserve">The </w:t>
      </w:r>
      <w:r w:rsidR="00396E0C" w:rsidRPr="00D415D4">
        <w:rPr>
          <w:rFonts w:ascii="Arial" w:hAnsi="Arial"/>
          <w:color w:val="000000"/>
        </w:rPr>
        <w:t xml:space="preserve">annual </w:t>
      </w:r>
      <w:r w:rsidRPr="00D415D4">
        <w:rPr>
          <w:rFonts w:ascii="Arial" w:hAnsi="Arial"/>
          <w:color w:val="000000"/>
        </w:rPr>
        <w:t>amount for distribution will be determined by the following:</w:t>
      </w:r>
    </w:p>
    <w:p w:rsidR="00AF7E54" w:rsidRDefault="00AF7E54" w:rsidP="00AF7E54">
      <w:pPr>
        <w:numPr>
          <w:ilvl w:val="0"/>
          <w:numId w:val="13"/>
        </w:numPr>
        <w:rPr>
          <w:rFonts w:ascii="Arial" w:hAnsi="Arial"/>
          <w:color w:val="000000"/>
        </w:rPr>
      </w:pPr>
      <w:r w:rsidRPr="00D415D4">
        <w:rPr>
          <w:rFonts w:ascii="Arial" w:hAnsi="Arial"/>
          <w:color w:val="000000"/>
        </w:rPr>
        <w:t>The amount of money which the Legislature appropriates for the purpose of reimbursing each operator for health care costs that are not paid by a third-party insurer;</w:t>
      </w:r>
    </w:p>
    <w:p w:rsidR="000E58FC" w:rsidRPr="00D415D4" w:rsidRDefault="000E58FC" w:rsidP="000E58FC">
      <w:pPr>
        <w:ind w:left="420"/>
        <w:rPr>
          <w:rFonts w:ascii="Arial" w:hAnsi="Arial"/>
          <w:color w:val="000000"/>
        </w:rPr>
      </w:pPr>
    </w:p>
    <w:p w:rsidR="00AF7E54" w:rsidRDefault="00AF7E54" w:rsidP="00AF7E54">
      <w:pPr>
        <w:numPr>
          <w:ilvl w:val="0"/>
          <w:numId w:val="13"/>
        </w:numPr>
        <w:rPr>
          <w:rFonts w:ascii="Arial" w:hAnsi="Arial"/>
          <w:color w:val="000000"/>
        </w:rPr>
      </w:pPr>
      <w:r w:rsidRPr="00D415D4">
        <w:rPr>
          <w:rFonts w:ascii="Arial" w:hAnsi="Arial"/>
          <w:color w:val="000000"/>
        </w:rPr>
        <w:t>The lawful uses of the money appropriated to the Bureau;</w:t>
      </w:r>
    </w:p>
    <w:p w:rsidR="000E58FC" w:rsidRPr="00D415D4" w:rsidRDefault="000E58FC" w:rsidP="000E58FC">
      <w:pPr>
        <w:ind w:left="420"/>
        <w:rPr>
          <w:rFonts w:ascii="Arial" w:hAnsi="Arial"/>
          <w:color w:val="000000"/>
        </w:rPr>
      </w:pPr>
    </w:p>
    <w:p w:rsidR="00AF7E54" w:rsidRDefault="00AF7E54" w:rsidP="00AF7E54">
      <w:pPr>
        <w:numPr>
          <w:ilvl w:val="0"/>
          <w:numId w:val="13"/>
        </w:numPr>
        <w:rPr>
          <w:rFonts w:ascii="Arial" w:hAnsi="Arial"/>
          <w:color w:val="000000"/>
        </w:rPr>
      </w:pPr>
      <w:r w:rsidRPr="00D415D4">
        <w:rPr>
          <w:rFonts w:ascii="Arial" w:hAnsi="Arial"/>
          <w:color w:val="000000"/>
        </w:rPr>
        <w:t>Any reserves which the Bureau determines it must maintain; and</w:t>
      </w:r>
    </w:p>
    <w:p w:rsidR="000E58FC" w:rsidRPr="00D415D4" w:rsidRDefault="000E58FC" w:rsidP="000E58FC">
      <w:pPr>
        <w:ind w:left="420"/>
        <w:rPr>
          <w:rFonts w:ascii="Arial" w:hAnsi="Arial"/>
          <w:color w:val="000000"/>
        </w:rPr>
      </w:pPr>
    </w:p>
    <w:p w:rsidR="00AF7E54" w:rsidRPr="00D415D4" w:rsidRDefault="00AF7E54" w:rsidP="00AF7E54">
      <w:pPr>
        <w:numPr>
          <w:ilvl w:val="0"/>
          <w:numId w:val="13"/>
        </w:numPr>
        <w:rPr>
          <w:rFonts w:ascii="Arial" w:hAnsi="Arial"/>
          <w:color w:val="000000"/>
        </w:rPr>
      </w:pPr>
      <w:r w:rsidRPr="00D415D4">
        <w:rPr>
          <w:rFonts w:ascii="Arial" w:hAnsi="Arial"/>
          <w:color w:val="000000"/>
        </w:rPr>
        <w:t>The number of operators who are anticipated to be eligible to receive reimbursement for health care costs pursuant to this policy and procedure.</w:t>
      </w:r>
    </w:p>
    <w:p w:rsidR="002378AC" w:rsidRPr="00D415D4" w:rsidRDefault="002378AC" w:rsidP="00DD64B8">
      <w:pPr>
        <w:rPr>
          <w:rFonts w:ascii="Arial" w:hAnsi="Arial"/>
          <w:color w:val="000000"/>
        </w:rPr>
      </w:pPr>
    </w:p>
    <w:p w:rsidR="00A01378" w:rsidRPr="00D415D4" w:rsidRDefault="00A01378" w:rsidP="00DD64B8">
      <w:pPr>
        <w:rPr>
          <w:rFonts w:ascii="Arial" w:hAnsi="Arial"/>
          <w:color w:val="000000"/>
        </w:rPr>
      </w:pPr>
      <w:r w:rsidRPr="00D415D4">
        <w:rPr>
          <w:rFonts w:ascii="Arial" w:hAnsi="Arial"/>
          <w:color w:val="000000"/>
        </w:rPr>
        <w:t xml:space="preserve">Upon approval of NAC 426.387 and within 45 days of this policy going into effect </w:t>
      </w:r>
      <w:r w:rsidR="00904C98" w:rsidRPr="00D415D4">
        <w:rPr>
          <w:rFonts w:ascii="Arial" w:hAnsi="Arial"/>
          <w:color w:val="000000"/>
        </w:rPr>
        <w:t xml:space="preserve">the </w:t>
      </w:r>
      <w:r w:rsidR="008A0282" w:rsidRPr="00D415D4">
        <w:rPr>
          <w:rFonts w:ascii="Arial" w:hAnsi="Arial"/>
          <w:color w:val="000000"/>
        </w:rPr>
        <w:t>NCBV</w:t>
      </w:r>
      <w:r w:rsidRPr="00D415D4">
        <w:rPr>
          <w:rFonts w:ascii="Arial" w:hAnsi="Arial"/>
          <w:color w:val="000000"/>
        </w:rPr>
        <w:t xml:space="preserve"> will conduct a meeting to decide </w:t>
      </w:r>
      <w:r w:rsidR="00D84EF1" w:rsidRPr="00D415D4">
        <w:rPr>
          <w:rFonts w:ascii="Arial" w:hAnsi="Arial"/>
          <w:color w:val="000000"/>
        </w:rPr>
        <w:t xml:space="preserve">the amount of funding available </w:t>
      </w:r>
      <w:r w:rsidRPr="00D415D4">
        <w:rPr>
          <w:rFonts w:ascii="Arial" w:hAnsi="Arial"/>
          <w:color w:val="000000"/>
        </w:rPr>
        <w:t xml:space="preserve">for </w:t>
      </w:r>
      <w:r w:rsidR="00D84EF1" w:rsidRPr="00D415D4">
        <w:rPr>
          <w:rFonts w:ascii="Arial" w:hAnsi="Arial"/>
          <w:color w:val="000000"/>
        </w:rPr>
        <w:t xml:space="preserve">the </w:t>
      </w:r>
      <w:r w:rsidR="00B40BF1" w:rsidRPr="00D415D4">
        <w:rPr>
          <w:rFonts w:ascii="Arial" w:hAnsi="Arial"/>
          <w:color w:val="000000"/>
        </w:rPr>
        <w:t xml:space="preserve">health care </w:t>
      </w:r>
      <w:r w:rsidR="002378AC" w:rsidRPr="00D415D4">
        <w:rPr>
          <w:rFonts w:ascii="Arial" w:hAnsi="Arial"/>
          <w:color w:val="000000"/>
        </w:rPr>
        <w:t>cost reimbursement</w:t>
      </w:r>
      <w:r w:rsidRPr="00D415D4">
        <w:rPr>
          <w:rFonts w:ascii="Arial" w:hAnsi="Arial"/>
          <w:color w:val="000000"/>
        </w:rPr>
        <w:t xml:space="preserve"> for the </w:t>
      </w:r>
      <w:r w:rsidR="00E762FB" w:rsidRPr="00D415D4">
        <w:rPr>
          <w:rFonts w:ascii="Arial" w:hAnsi="Arial"/>
          <w:color w:val="000000"/>
        </w:rPr>
        <w:t>rem</w:t>
      </w:r>
      <w:r w:rsidR="00E762FB">
        <w:rPr>
          <w:rFonts w:ascii="Arial" w:hAnsi="Arial"/>
          <w:color w:val="000000"/>
        </w:rPr>
        <w:t>a</w:t>
      </w:r>
      <w:r w:rsidR="00E762FB" w:rsidRPr="00D415D4">
        <w:rPr>
          <w:rFonts w:ascii="Arial" w:hAnsi="Arial"/>
          <w:color w:val="000000"/>
        </w:rPr>
        <w:t>inder</w:t>
      </w:r>
      <w:r w:rsidRPr="00D415D4">
        <w:rPr>
          <w:rFonts w:ascii="Arial" w:hAnsi="Arial"/>
          <w:color w:val="000000"/>
        </w:rPr>
        <w:t xml:space="preserve"> of state fiscal year </w:t>
      </w:r>
      <w:r w:rsidR="00C750DF" w:rsidRPr="00D415D4">
        <w:rPr>
          <w:rFonts w:ascii="Arial" w:hAnsi="Arial"/>
          <w:color w:val="000000"/>
        </w:rPr>
        <w:t xml:space="preserve">2015 </w:t>
      </w:r>
      <w:r w:rsidRPr="00D415D4">
        <w:rPr>
          <w:rFonts w:ascii="Arial" w:hAnsi="Arial"/>
          <w:color w:val="000000"/>
        </w:rPr>
        <w:t xml:space="preserve">as well as the following </w:t>
      </w:r>
      <w:r w:rsidR="002378AC" w:rsidRPr="00D415D4">
        <w:rPr>
          <w:rFonts w:ascii="Arial" w:hAnsi="Arial"/>
          <w:color w:val="000000"/>
        </w:rPr>
        <w:t>biennial cycle (SFY16/17)</w:t>
      </w:r>
      <w:r w:rsidR="00CF4BF7" w:rsidRPr="00D415D4">
        <w:rPr>
          <w:rFonts w:ascii="Arial" w:hAnsi="Arial"/>
          <w:color w:val="000000"/>
        </w:rPr>
        <w:t>,</w:t>
      </w:r>
      <w:r w:rsidR="00D84EF1" w:rsidRPr="00D415D4">
        <w:rPr>
          <w:rFonts w:ascii="Arial" w:hAnsi="Arial"/>
          <w:color w:val="000000"/>
        </w:rPr>
        <w:t xml:space="preserve"> </w:t>
      </w:r>
      <w:r w:rsidR="00385A59" w:rsidRPr="00D415D4">
        <w:rPr>
          <w:rFonts w:ascii="Arial" w:hAnsi="Arial"/>
          <w:color w:val="000000"/>
        </w:rPr>
        <w:t>(d</w:t>
      </w:r>
      <w:r w:rsidR="002378AC" w:rsidRPr="00D415D4">
        <w:rPr>
          <w:rFonts w:ascii="Arial" w:hAnsi="Arial"/>
          <w:color w:val="000000"/>
        </w:rPr>
        <w:t>ue</w:t>
      </w:r>
      <w:r w:rsidR="00C750DF" w:rsidRPr="00D415D4">
        <w:rPr>
          <w:rFonts w:ascii="Arial" w:hAnsi="Arial"/>
          <w:color w:val="000000"/>
        </w:rPr>
        <w:t xml:space="preserve"> to the timing of the </w:t>
      </w:r>
      <w:r w:rsidR="00CF4BF7" w:rsidRPr="00D415D4">
        <w:rPr>
          <w:rFonts w:ascii="Arial" w:hAnsi="Arial"/>
          <w:color w:val="000000"/>
        </w:rPr>
        <w:t xml:space="preserve">final </w:t>
      </w:r>
      <w:r w:rsidR="00C750DF" w:rsidRPr="00D415D4">
        <w:rPr>
          <w:rFonts w:ascii="Arial" w:hAnsi="Arial"/>
          <w:color w:val="000000"/>
        </w:rPr>
        <w:t>approval not allowing for the inclusion in the SFY16/17 biennial request</w:t>
      </w:r>
      <w:r w:rsidR="00385A59" w:rsidRPr="00D415D4">
        <w:rPr>
          <w:rFonts w:ascii="Arial" w:hAnsi="Arial"/>
          <w:color w:val="000000"/>
        </w:rPr>
        <w:t>)</w:t>
      </w:r>
      <w:r w:rsidR="00C750DF" w:rsidRPr="00D415D4">
        <w:rPr>
          <w:rFonts w:ascii="Arial" w:hAnsi="Arial"/>
          <w:color w:val="000000"/>
        </w:rPr>
        <w:t>.</w:t>
      </w:r>
      <w:r w:rsidR="002378AC" w:rsidRPr="00D415D4">
        <w:rPr>
          <w:rFonts w:ascii="Arial" w:hAnsi="Arial"/>
          <w:color w:val="000000"/>
        </w:rPr>
        <w:t xml:space="preserve"> </w:t>
      </w:r>
    </w:p>
    <w:p w:rsidR="005E28A0" w:rsidRDefault="005E28A0" w:rsidP="00DD64B8">
      <w:pPr>
        <w:rPr>
          <w:rFonts w:ascii="Arial" w:hAnsi="Arial"/>
        </w:rPr>
      </w:pPr>
    </w:p>
    <w:p w:rsidR="00072D41" w:rsidRPr="005E28A0" w:rsidRDefault="005E28A0" w:rsidP="00DD64B8">
      <w:pPr>
        <w:rPr>
          <w:rFonts w:ascii="Arial" w:hAnsi="Arial"/>
        </w:rPr>
      </w:pPr>
      <w:r>
        <w:rPr>
          <w:rFonts w:ascii="Arial" w:hAnsi="Arial"/>
        </w:rPr>
        <w:br w:type="page"/>
      </w:r>
      <w:r w:rsidR="00072D41" w:rsidRPr="006073BB">
        <w:rPr>
          <w:rFonts w:ascii="Arial" w:hAnsi="Arial"/>
          <w:b/>
          <w:u w:val="single"/>
        </w:rPr>
        <w:lastRenderedPageBreak/>
        <w:t>Eligibility</w:t>
      </w:r>
    </w:p>
    <w:p w:rsidR="00072D41" w:rsidRDefault="00072D41" w:rsidP="00DD64B8">
      <w:pPr>
        <w:rPr>
          <w:rFonts w:ascii="Arial" w:hAnsi="Arial"/>
        </w:rPr>
      </w:pPr>
    </w:p>
    <w:p w:rsidR="00B915FF" w:rsidRDefault="00072D41" w:rsidP="00072D41">
      <w:pPr>
        <w:rPr>
          <w:rFonts w:ascii="Arial" w:hAnsi="Arial"/>
        </w:rPr>
      </w:pPr>
      <w:r>
        <w:rPr>
          <w:rFonts w:ascii="Arial" w:hAnsi="Arial"/>
        </w:rPr>
        <w:t>T</w:t>
      </w:r>
      <w:r w:rsidR="00B915FF">
        <w:rPr>
          <w:rFonts w:ascii="Arial" w:hAnsi="Arial"/>
        </w:rPr>
        <w:t xml:space="preserve">o be eligible to receive reimbursement for </w:t>
      </w:r>
      <w:r w:rsidR="00B40BF1">
        <w:rPr>
          <w:rFonts w:ascii="Arial" w:hAnsi="Arial"/>
        </w:rPr>
        <w:t>health care cost</w:t>
      </w:r>
      <w:r w:rsidR="00151EE4">
        <w:rPr>
          <w:rFonts w:ascii="Arial" w:hAnsi="Arial"/>
        </w:rPr>
        <w:t>s that are not paid by a third-party insurer</w:t>
      </w:r>
      <w:r w:rsidR="00B915FF">
        <w:rPr>
          <w:rFonts w:ascii="Arial" w:hAnsi="Arial"/>
        </w:rPr>
        <w:t>, an individual must be:</w:t>
      </w:r>
    </w:p>
    <w:p w:rsidR="00B915FF" w:rsidRDefault="00B915FF" w:rsidP="00DD64B8">
      <w:pPr>
        <w:rPr>
          <w:rFonts w:ascii="Arial" w:hAnsi="Arial"/>
        </w:rPr>
      </w:pPr>
    </w:p>
    <w:p w:rsidR="00B915FF" w:rsidRDefault="00072D41" w:rsidP="00072D41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A</w:t>
      </w:r>
      <w:r w:rsidR="00B915FF">
        <w:rPr>
          <w:rFonts w:ascii="Arial" w:hAnsi="Arial"/>
        </w:rPr>
        <w:t xml:space="preserve"> licensed blind operator operating a vending facility as part of the Business Enterprises of Nevada (BEN) program; or,</w:t>
      </w:r>
    </w:p>
    <w:p w:rsidR="00072D41" w:rsidRDefault="00072D41" w:rsidP="00072D41">
      <w:pPr>
        <w:ind w:left="360"/>
        <w:rPr>
          <w:rFonts w:ascii="Arial" w:hAnsi="Arial"/>
        </w:rPr>
      </w:pPr>
    </w:p>
    <w:p w:rsidR="00B915FF" w:rsidRDefault="00072D41" w:rsidP="00B915FF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A</w:t>
      </w:r>
      <w:r w:rsidR="00B915FF">
        <w:rPr>
          <w:rFonts w:ascii="Arial" w:hAnsi="Arial"/>
        </w:rPr>
        <w:t xml:space="preserve"> licensed blind operator who is not currently operating a vending facility but who has retained the license issued by the </w:t>
      </w:r>
      <w:r w:rsidR="008A0282">
        <w:rPr>
          <w:rFonts w:ascii="Arial" w:hAnsi="Arial"/>
        </w:rPr>
        <w:t>Bureau</w:t>
      </w:r>
      <w:r w:rsidR="00B915FF">
        <w:rPr>
          <w:rFonts w:ascii="Arial" w:hAnsi="Arial"/>
        </w:rPr>
        <w:t>; or,</w:t>
      </w:r>
    </w:p>
    <w:p w:rsidR="00072D41" w:rsidRDefault="00072D41" w:rsidP="00072D41">
      <w:pPr>
        <w:rPr>
          <w:rFonts w:ascii="Arial" w:hAnsi="Arial"/>
        </w:rPr>
      </w:pPr>
    </w:p>
    <w:p w:rsidR="00B915FF" w:rsidRDefault="00072D41" w:rsidP="00B915FF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A</w:t>
      </w:r>
      <w:r w:rsidR="00B915FF">
        <w:rPr>
          <w:rFonts w:ascii="Arial" w:hAnsi="Arial"/>
        </w:rPr>
        <w:t xml:space="preserve"> licensed blind operator of a vending facility operating under an Interim Operating Agreement.</w:t>
      </w:r>
    </w:p>
    <w:p w:rsidR="00072D41" w:rsidRDefault="00072D41" w:rsidP="00072D41">
      <w:pPr>
        <w:rPr>
          <w:rFonts w:ascii="Arial" w:hAnsi="Arial"/>
        </w:rPr>
      </w:pPr>
    </w:p>
    <w:p w:rsidR="00B915FF" w:rsidRDefault="00072D41" w:rsidP="00072D41">
      <w:pPr>
        <w:ind w:left="360"/>
        <w:rPr>
          <w:rFonts w:ascii="Arial" w:hAnsi="Arial"/>
        </w:rPr>
      </w:pPr>
      <w:r>
        <w:rPr>
          <w:rFonts w:ascii="Arial" w:hAnsi="Arial"/>
        </w:rPr>
        <w:t>A</w:t>
      </w:r>
      <w:r w:rsidR="00B915FF">
        <w:rPr>
          <w:rFonts w:ascii="Arial" w:hAnsi="Arial"/>
        </w:rPr>
        <w:t>n individual meets the criteria of being licensed when the terms and conditions of NAC</w:t>
      </w:r>
      <w:r w:rsidR="008A3E5B">
        <w:rPr>
          <w:rFonts w:ascii="Arial" w:hAnsi="Arial"/>
        </w:rPr>
        <w:t xml:space="preserve"> </w:t>
      </w:r>
      <w:r w:rsidR="00B915FF">
        <w:rPr>
          <w:rFonts w:ascii="Arial" w:hAnsi="Arial"/>
        </w:rPr>
        <w:t xml:space="preserve">426.110 </w:t>
      </w:r>
      <w:r w:rsidR="00B915FF" w:rsidRPr="005A538E">
        <w:rPr>
          <w:rFonts w:ascii="Arial" w:hAnsi="Arial"/>
          <w:i/>
        </w:rPr>
        <w:t>et seq</w:t>
      </w:r>
      <w:r w:rsidR="00B915FF">
        <w:rPr>
          <w:rFonts w:ascii="Arial" w:hAnsi="Arial"/>
        </w:rPr>
        <w:t>. are met</w:t>
      </w:r>
      <w:r w:rsidR="009E0356">
        <w:rPr>
          <w:rFonts w:ascii="Arial" w:hAnsi="Arial"/>
        </w:rPr>
        <w:t>.</w:t>
      </w:r>
    </w:p>
    <w:p w:rsidR="005A538E" w:rsidRDefault="005A538E" w:rsidP="00B915FF">
      <w:pPr>
        <w:rPr>
          <w:rFonts w:ascii="Arial" w:hAnsi="Arial"/>
        </w:rPr>
      </w:pPr>
    </w:p>
    <w:p w:rsidR="005A538E" w:rsidRDefault="005A538E" w:rsidP="009E0356">
      <w:pPr>
        <w:rPr>
          <w:rFonts w:ascii="Arial" w:hAnsi="Arial"/>
        </w:rPr>
      </w:pPr>
      <w:r>
        <w:rPr>
          <w:rFonts w:ascii="Arial" w:hAnsi="Arial"/>
        </w:rPr>
        <w:t>For the purposes of</w:t>
      </w:r>
      <w:r w:rsidR="00E53BF1">
        <w:rPr>
          <w:rFonts w:ascii="Arial" w:hAnsi="Arial"/>
        </w:rPr>
        <w:t xml:space="preserve"> the</w:t>
      </w:r>
      <w:r>
        <w:rPr>
          <w:rFonts w:ascii="Arial" w:hAnsi="Arial"/>
        </w:rPr>
        <w:t xml:space="preserve"> </w:t>
      </w:r>
      <w:r w:rsidR="00D5467F">
        <w:rPr>
          <w:rFonts w:ascii="Arial" w:hAnsi="Arial"/>
        </w:rPr>
        <w:t>h</w:t>
      </w:r>
      <w:r w:rsidR="00B40BF1">
        <w:rPr>
          <w:rFonts w:ascii="Arial" w:hAnsi="Arial"/>
        </w:rPr>
        <w:t xml:space="preserve">ealth care </w:t>
      </w:r>
      <w:r w:rsidR="002378AC">
        <w:rPr>
          <w:rFonts w:ascii="Arial" w:hAnsi="Arial"/>
        </w:rPr>
        <w:t>cost reimbursement</w:t>
      </w:r>
      <w:r w:rsidR="00D5467F">
        <w:rPr>
          <w:rFonts w:ascii="Arial" w:hAnsi="Arial"/>
        </w:rPr>
        <w:t xml:space="preserve"> p</w:t>
      </w:r>
      <w:r w:rsidR="00DA5C93">
        <w:rPr>
          <w:rFonts w:ascii="Arial" w:hAnsi="Arial"/>
        </w:rPr>
        <w:t>rogram, members of an</w:t>
      </w:r>
      <w:r>
        <w:rPr>
          <w:rFonts w:ascii="Arial" w:hAnsi="Arial"/>
        </w:rPr>
        <w:t xml:space="preserve"> operator’s immediate family are determined to be:</w:t>
      </w:r>
    </w:p>
    <w:p w:rsidR="005A538E" w:rsidRDefault="005A538E" w:rsidP="005A538E">
      <w:pPr>
        <w:ind w:left="360"/>
        <w:rPr>
          <w:rFonts w:ascii="Arial" w:hAnsi="Arial"/>
        </w:rPr>
      </w:pPr>
    </w:p>
    <w:p w:rsidR="005A538E" w:rsidRDefault="009E0356" w:rsidP="009E0356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A</w:t>
      </w:r>
      <w:r w:rsidR="005A538E">
        <w:rPr>
          <w:rFonts w:ascii="Arial" w:hAnsi="Arial"/>
        </w:rPr>
        <w:t xml:space="preserve"> spouse;</w:t>
      </w:r>
    </w:p>
    <w:p w:rsidR="009E0356" w:rsidRDefault="009E0356" w:rsidP="009E0356">
      <w:pPr>
        <w:ind w:left="360"/>
        <w:rPr>
          <w:rFonts w:ascii="Arial" w:hAnsi="Arial"/>
        </w:rPr>
      </w:pPr>
    </w:p>
    <w:p w:rsidR="005A538E" w:rsidRDefault="009E0356" w:rsidP="005A538E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C</w:t>
      </w:r>
      <w:r w:rsidR="005A538E">
        <w:rPr>
          <w:rFonts w:ascii="Arial" w:hAnsi="Arial"/>
        </w:rPr>
        <w:t>hildren residing within the family residence who are eighteen years of age or younger.</w:t>
      </w:r>
    </w:p>
    <w:p w:rsidR="009E0356" w:rsidRDefault="009E0356" w:rsidP="009E0356">
      <w:pPr>
        <w:rPr>
          <w:rFonts w:ascii="Arial" w:hAnsi="Arial"/>
        </w:rPr>
      </w:pPr>
    </w:p>
    <w:p w:rsidR="005A538E" w:rsidRDefault="009E0356" w:rsidP="005A538E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C</w:t>
      </w:r>
      <w:r w:rsidR="005A538E">
        <w:rPr>
          <w:rFonts w:ascii="Arial" w:hAnsi="Arial"/>
        </w:rPr>
        <w:t>hildren under the age of twenty-</w:t>
      </w:r>
      <w:r w:rsidR="001B4D1A">
        <w:rPr>
          <w:rFonts w:ascii="Arial" w:hAnsi="Arial"/>
        </w:rPr>
        <w:t>six</w:t>
      </w:r>
      <w:r w:rsidR="005A538E">
        <w:rPr>
          <w:rFonts w:ascii="Arial" w:hAnsi="Arial"/>
        </w:rPr>
        <w:t xml:space="preserve"> years who are enrolled in a post-secondary education program, their place of residence notwithstanding; and,</w:t>
      </w:r>
    </w:p>
    <w:p w:rsidR="009E0356" w:rsidRDefault="009E0356" w:rsidP="009E0356">
      <w:pPr>
        <w:rPr>
          <w:rFonts w:ascii="Arial" w:hAnsi="Arial"/>
        </w:rPr>
      </w:pPr>
    </w:p>
    <w:p w:rsidR="005A538E" w:rsidRDefault="009E0356" w:rsidP="005A538E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C</w:t>
      </w:r>
      <w:r w:rsidR="005A538E">
        <w:rPr>
          <w:rFonts w:ascii="Arial" w:hAnsi="Arial"/>
        </w:rPr>
        <w:t xml:space="preserve">hildren, their place of residence notwithstanding, for whom the court has ordered that </w:t>
      </w:r>
      <w:r w:rsidR="00B40BF1">
        <w:rPr>
          <w:rFonts w:ascii="Arial" w:hAnsi="Arial"/>
        </w:rPr>
        <w:t>health care cost</w:t>
      </w:r>
      <w:r w:rsidR="00D5467F">
        <w:rPr>
          <w:rFonts w:ascii="Arial" w:hAnsi="Arial"/>
        </w:rPr>
        <w:t xml:space="preserve"> </w:t>
      </w:r>
      <w:r w:rsidR="005A538E">
        <w:rPr>
          <w:rFonts w:ascii="Arial" w:hAnsi="Arial"/>
        </w:rPr>
        <w:t>coverage be provided by the licensed blind operator.</w:t>
      </w:r>
    </w:p>
    <w:p w:rsidR="005A538E" w:rsidRDefault="005A538E" w:rsidP="005A538E">
      <w:pPr>
        <w:ind w:left="720" w:hanging="360"/>
        <w:rPr>
          <w:rFonts w:ascii="Arial" w:hAnsi="Arial"/>
        </w:rPr>
      </w:pPr>
    </w:p>
    <w:p w:rsidR="005A538E" w:rsidRDefault="00396E0C" w:rsidP="009E0356">
      <w:pPr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5A538E">
        <w:rPr>
          <w:rFonts w:ascii="Arial" w:hAnsi="Arial"/>
        </w:rPr>
        <w:t xml:space="preserve">operator shall provide to the </w:t>
      </w:r>
      <w:r w:rsidR="008A0282">
        <w:rPr>
          <w:rFonts w:ascii="Arial" w:hAnsi="Arial"/>
        </w:rPr>
        <w:t>Bureau</w:t>
      </w:r>
      <w:r w:rsidR="005A538E">
        <w:rPr>
          <w:rFonts w:ascii="Arial" w:hAnsi="Arial"/>
        </w:rPr>
        <w:t>:</w:t>
      </w:r>
    </w:p>
    <w:p w:rsidR="009E0356" w:rsidRDefault="009E0356" w:rsidP="009E0356">
      <w:pPr>
        <w:rPr>
          <w:rFonts w:ascii="Arial" w:hAnsi="Arial"/>
        </w:rPr>
      </w:pPr>
    </w:p>
    <w:p w:rsidR="008A0282" w:rsidRDefault="008A0282" w:rsidP="008A0282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Certified or abstract copy of the marriage license;</w:t>
      </w:r>
    </w:p>
    <w:p w:rsidR="008A0282" w:rsidRDefault="008A0282" w:rsidP="008A0282">
      <w:pPr>
        <w:ind w:left="720"/>
        <w:rPr>
          <w:rFonts w:ascii="Arial" w:hAnsi="Arial"/>
        </w:rPr>
      </w:pPr>
    </w:p>
    <w:p w:rsidR="008A0282" w:rsidRDefault="008A0282" w:rsidP="008A0282">
      <w:pPr>
        <w:numPr>
          <w:ilvl w:val="0"/>
          <w:numId w:val="11"/>
        </w:numPr>
        <w:rPr>
          <w:rFonts w:ascii="Arial" w:hAnsi="Arial"/>
        </w:rPr>
      </w:pPr>
      <w:r w:rsidRPr="008A0282">
        <w:rPr>
          <w:rFonts w:ascii="Arial" w:hAnsi="Arial"/>
        </w:rPr>
        <w:t>Each child’s birth certificate;</w:t>
      </w:r>
    </w:p>
    <w:p w:rsidR="008A0282" w:rsidRPr="008A0282" w:rsidRDefault="008A0282" w:rsidP="008A0282">
      <w:pPr>
        <w:ind w:left="720"/>
        <w:rPr>
          <w:rFonts w:ascii="Arial" w:hAnsi="Arial"/>
        </w:rPr>
      </w:pPr>
    </w:p>
    <w:p w:rsidR="009E0356" w:rsidRDefault="009E0356" w:rsidP="009E0356">
      <w:pPr>
        <w:numPr>
          <w:ilvl w:val="0"/>
          <w:numId w:val="11"/>
        </w:numPr>
        <w:rPr>
          <w:rFonts w:ascii="Arial" w:hAnsi="Arial"/>
        </w:rPr>
      </w:pPr>
      <w:r>
        <w:rPr>
          <w:rFonts w:ascii="Arial" w:hAnsi="Arial"/>
        </w:rPr>
        <w:t>P</w:t>
      </w:r>
      <w:r w:rsidR="005A538E">
        <w:rPr>
          <w:rFonts w:ascii="Arial" w:hAnsi="Arial"/>
        </w:rPr>
        <w:t>roof of each child’s enrollment in a post-secondary education</w:t>
      </w:r>
      <w:r w:rsidR="00C62930">
        <w:rPr>
          <w:rFonts w:ascii="Arial" w:hAnsi="Arial"/>
        </w:rPr>
        <w:t xml:space="preserve"> program</w:t>
      </w:r>
      <w:r w:rsidR="005A538E">
        <w:rPr>
          <w:rFonts w:ascii="Arial" w:hAnsi="Arial"/>
        </w:rPr>
        <w:t>;</w:t>
      </w:r>
      <w:r w:rsidR="001F34EF">
        <w:rPr>
          <w:rFonts w:ascii="Arial" w:hAnsi="Arial"/>
        </w:rPr>
        <w:t xml:space="preserve"> and</w:t>
      </w:r>
    </w:p>
    <w:p w:rsidR="001F34EF" w:rsidRPr="001F34EF" w:rsidRDefault="001F34EF" w:rsidP="001F34EF">
      <w:pPr>
        <w:ind w:left="720"/>
        <w:rPr>
          <w:rFonts w:ascii="Arial" w:hAnsi="Arial"/>
        </w:rPr>
      </w:pPr>
    </w:p>
    <w:p w:rsidR="00B34F93" w:rsidRPr="00B35C9C" w:rsidRDefault="009E0356" w:rsidP="009E0356">
      <w:pPr>
        <w:numPr>
          <w:ilvl w:val="0"/>
          <w:numId w:val="11"/>
        </w:numPr>
        <w:rPr>
          <w:rFonts w:ascii="Arial" w:hAnsi="Arial"/>
        </w:rPr>
      </w:pPr>
      <w:r w:rsidRPr="00B35C9C">
        <w:rPr>
          <w:rFonts w:ascii="Arial" w:hAnsi="Arial"/>
        </w:rPr>
        <w:t>A</w:t>
      </w:r>
      <w:r w:rsidR="005A538E" w:rsidRPr="00B35C9C">
        <w:rPr>
          <w:rFonts w:ascii="Arial" w:hAnsi="Arial"/>
        </w:rPr>
        <w:t xml:space="preserve"> copy of the court order granting the legal guardianship to the licensed blind operator for a dependent child.</w:t>
      </w:r>
    </w:p>
    <w:p w:rsidR="000D3979" w:rsidRDefault="000D3979" w:rsidP="009E0356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Annual Reimbursement Period</w:t>
      </w:r>
    </w:p>
    <w:p w:rsidR="000D3979" w:rsidRDefault="000D3979" w:rsidP="009E0356">
      <w:pPr>
        <w:rPr>
          <w:rFonts w:ascii="Arial" w:hAnsi="Arial"/>
          <w:b/>
          <w:u w:val="single"/>
        </w:rPr>
      </w:pPr>
    </w:p>
    <w:p w:rsidR="001F34EF" w:rsidRDefault="00E53BF1" w:rsidP="009E0356">
      <w:pPr>
        <w:rPr>
          <w:rFonts w:ascii="Arial" w:hAnsi="Arial"/>
        </w:rPr>
      </w:pPr>
      <w:r>
        <w:rPr>
          <w:rFonts w:ascii="Arial" w:hAnsi="Arial"/>
        </w:rPr>
        <w:t>For the purposes of the</w:t>
      </w:r>
      <w:r w:rsidR="001706B0">
        <w:rPr>
          <w:rFonts w:ascii="Arial" w:hAnsi="Arial"/>
        </w:rPr>
        <w:t xml:space="preserve"> </w:t>
      </w:r>
      <w:r w:rsidR="00D5467F">
        <w:rPr>
          <w:rFonts w:ascii="Arial" w:hAnsi="Arial"/>
        </w:rPr>
        <w:t>h</w:t>
      </w:r>
      <w:r w:rsidR="00B40BF1">
        <w:rPr>
          <w:rFonts w:ascii="Arial" w:hAnsi="Arial"/>
        </w:rPr>
        <w:t xml:space="preserve">ealth care </w:t>
      </w:r>
      <w:r w:rsidR="002378AC">
        <w:rPr>
          <w:rFonts w:ascii="Arial" w:hAnsi="Arial"/>
        </w:rPr>
        <w:t>cost reimbursement</w:t>
      </w:r>
      <w:r w:rsidR="009E0356">
        <w:rPr>
          <w:rFonts w:ascii="Arial" w:hAnsi="Arial"/>
        </w:rPr>
        <w:t xml:space="preserve"> </w:t>
      </w:r>
      <w:r w:rsidR="00D5467F">
        <w:rPr>
          <w:rFonts w:ascii="Arial" w:hAnsi="Arial"/>
        </w:rPr>
        <w:t>p</w:t>
      </w:r>
      <w:r w:rsidR="001706B0">
        <w:rPr>
          <w:rFonts w:ascii="Arial" w:hAnsi="Arial"/>
        </w:rPr>
        <w:t>rogram for licensed operators, the annual reimbursement period commences</w:t>
      </w:r>
      <w:r w:rsidR="009E0356">
        <w:rPr>
          <w:rFonts w:ascii="Arial" w:hAnsi="Arial"/>
        </w:rPr>
        <w:t xml:space="preserve"> </w:t>
      </w:r>
      <w:r w:rsidR="001706B0">
        <w:rPr>
          <w:rFonts w:ascii="Arial" w:hAnsi="Arial"/>
        </w:rPr>
        <w:t>on July 1</w:t>
      </w:r>
      <w:r w:rsidR="009E0356" w:rsidRPr="009E0356">
        <w:rPr>
          <w:rFonts w:ascii="Arial" w:hAnsi="Arial"/>
          <w:vertAlign w:val="superscript"/>
        </w:rPr>
        <w:t>st</w:t>
      </w:r>
      <w:r w:rsidR="009E0356">
        <w:rPr>
          <w:rFonts w:ascii="Arial" w:hAnsi="Arial"/>
        </w:rPr>
        <w:t xml:space="preserve"> </w:t>
      </w:r>
      <w:r w:rsidR="001706B0">
        <w:rPr>
          <w:rFonts w:ascii="Arial" w:hAnsi="Arial"/>
        </w:rPr>
        <w:t>of each year and expires on June 30</w:t>
      </w:r>
      <w:r w:rsidR="009E0356" w:rsidRPr="009E0356">
        <w:rPr>
          <w:rFonts w:ascii="Arial" w:hAnsi="Arial"/>
          <w:vertAlign w:val="superscript"/>
        </w:rPr>
        <w:t>th</w:t>
      </w:r>
      <w:r w:rsidR="009E0356">
        <w:rPr>
          <w:rFonts w:ascii="Arial" w:hAnsi="Arial"/>
        </w:rPr>
        <w:t xml:space="preserve"> </w:t>
      </w:r>
      <w:r w:rsidR="001706B0">
        <w:rPr>
          <w:rFonts w:ascii="Arial" w:hAnsi="Arial"/>
        </w:rPr>
        <w:t>of the following year (state fiscal</w:t>
      </w:r>
      <w:r w:rsidR="009E0356">
        <w:rPr>
          <w:rFonts w:ascii="Arial" w:hAnsi="Arial"/>
        </w:rPr>
        <w:t xml:space="preserve"> </w:t>
      </w:r>
      <w:r w:rsidR="001706B0">
        <w:rPr>
          <w:rFonts w:ascii="Arial" w:hAnsi="Arial"/>
        </w:rPr>
        <w:t>year).</w:t>
      </w:r>
      <w:r w:rsidR="00D5467F">
        <w:rPr>
          <w:rFonts w:ascii="Arial" w:hAnsi="Arial"/>
        </w:rPr>
        <w:t xml:space="preserve">  Reim</w:t>
      </w:r>
      <w:r w:rsidR="00736AF0">
        <w:rPr>
          <w:rFonts w:ascii="Arial" w:hAnsi="Arial"/>
        </w:rPr>
        <w:t>b</w:t>
      </w:r>
      <w:r w:rsidR="00D5467F">
        <w:rPr>
          <w:rFonts w:ascii="Arial" w:hAnsi="Arial"/>
        </w:rPr>
        <w:t>ursement requests are due quarterly, at a minimum, with the final submission for the quarter being the 20</w:t>
      </w:r>
      <w:r w:rsidR="00D5467F" w:rsidRPr="00D5467F">
        <w:rPr>
          <w:rFonts w:ascii="Arial" w:hAnsi="Arial"/>
          <w:vertAlign w:val="superscript"/>
        </w:rPr>
        <w:t>th</w:t>
      </w:r>
      <w:r w:rsidR="00D5467F">
        <w:rPr>
          <w:rFonts w:ascii="Arial" w:hAnsi="Arial"/>
        </w:rPr>
        <w:t xml:space="preserve"> of the month following the end of the quarter.  Reimbursement requests </w:t>
      </w:r>
      <w:r w:rsidR="00736AF0">
        <w:rPr>
          <w:rFonts w:ascii="Arial" w:hAnsi="Arial"/>
        </w:rPr>
        <w:t xml:space="preserve">received </w:t>
      </w:r>
      <w:r w:rsidR="00D5467F">
        <w:rPr>
          <w:rFonts w:ascii="Arial" w:hAnsi="Arial"/>
        </w:rPr>
        <w:t xml:space="preserve">later than the </w:t>
      </w:r>
      <w:r w:rsidR="00396E0C">
        <w:rPr>
          <w:rFonts w:ascii="Arial" w:hAnsi="Arial"/>
        </w:rPr>
        <w:t>20th</w:t>
      </w:r>
      <w:r w:rsidR="00396E0C">
        <w:rPr>
          <w:rFonts w:ascii="Arial" w:hAnsi="Arial"/>
          <w:vertAlign w:val="superscript"/>
        </w:rPr>
        <w:t xml:space="preserve"> </w:t>
      </w:r>
      <w:r w:rsidR="00396E0C">
        <w:rPr>
          <w:rFonts w:ascii="Arial" w:hAnsi="Arial"/>
        </w:rPr>
        <w:t>shall</w:t>
      </w:r>
      <w:r w:rsidR="00D5467F">
        <w:rPr>
          <w:rFonts w:ascii="Arial" w:hAnsi="Arial"/>
        </w:rPr>
        <w:t xml:space="preserve"> be accompanied by documentation demonstrating that the billing was not received in time to meet the deadline. </w:t>
      </w:r>
    </w:p>
    <w:p w:rsidR="00B35C9C" w:rsidRPr="00D415D4" w:rsidRDefault="00B35C9C" w:rsidP="009E0356">
      <w:pPr>
        <w:rPr>
          <w:rFonts w:ascii="Arial" w:hAnsi="Arial"/>
          <w:color w:val="000000"/>
        </w:rPr>
      </w:pPr>
    </w:p>
    <w:p w:rsidR="00003C74" w:rsidRPr="00D415D4" w:rsidRDefault="00F510AB" w:rsidP="009E0356">
      <w:pPr>
        <w:rPr>
          <w:rFonts w:ascii="Arial" w:hAnsi="Arial"/>
          <w:color w:val="000000"/>
        </w:rPr>
      </w:pPr>
      <w:r w:rsidRPr="00D415D4">
        <w:rPr>
          <w:rFonts w:ascii="Arial" w:hAnsi="Arial"/>
          <w:color w:val="000000"/>
        </w:rPr>
        <w:t xml:space="preserve">The health care cost reimbursements will be requested by submission of a completed form, as provided by the Bureau, and </w:t>
      </w:r>
      <w:r w:rsidR="001F34EF" w:rsidRPr="00D415D4">
        <w:rPr>
          <w:rFonts w:ascii="Arial" w:hAnsi="Arial"/>
          <w:color w:val="000000"/>
        </w:rPr>
        <w:t>accompanied by all relevant receipts and invoices. It is the responsibility of the operator to remove</w:t>
      </w:r>
      <w:r w:rsidR="00877716" w:rsidRPr="00D415D4">
        <w:rPr>
          <w:rFonts w:ascii="Arial" w:hAnsi="Arial"/>
          <w:color w:val="000000"/>
        </w:rPr>
        <w:t>,</w:t>
      </w:r>
      <w:r w:rsidR="001F34EF" w:rsidRPr="00D415D4">
        <w:rPr>
          <w:rFonts w:ascii="Arial" w:hAnsi="Arial"/>
          <w:color w:val="000000"/>
        </w:rPr>
        <w:t xml:space="preserve"> by bl</w:t>
      </w:r>
      <w:r w:rsidRPr="00D415D4">
        <w:rPr>
          <w:rFonts w:ascii="Arial" w:hAnsi="Arial"/>
          <w:color w:val="000000"/>
        </w:rPr>
        <w:t xml:space="preserve">acking out, </w:t>
      </w:r>
      <w:r w:rsidR="001F34EF" w:rsidRPr="00D415D4">
        <w:rPr>
          <w:rFonts w:ascii="Arial" w:hAnsi="Arial"/>
          <w:color w:val="000000"/>
        </w:rPr>
        <w:t>any protected medical information</w:t>
      </w:r>
      <w:r w:rsidR="00877716" w:rsidRPr="00D415D4">
        <w:rPr>
          <w:rFonts w:ascii="Arial" w:hAnsi="Arial"/>
          <w:color w:val="000000"/>
        </w:rPr>
        <w:t xml:space="preserve"> locat</w:t>
      </w:r>
      <w:r w:rsidR="001F7372">
        <w:rPr>
          <w:rFonts w:ascii="Arial" w:hAnsi="Arial"/>
          <w:color w:val="000000"/>
        </w:rPr>
        <w:t>ed</w:t>
      </w:r>
      <w:r w:rsidR="00877716" w:rsidRPr="00D415D4">
        <w:rPr>
          <w:rFonts w:ascii="Arial" w:hAnsi="Arial"/>
          <w:color w:val="000000"/>
        </w:rPr>
        <w:t xml:space="preserve"> </w:t>
      </w:r>
      <w:r w:rsidR="001F34EF" w:rsidRPr="00D415D4">
        <w:rPr>
          <w:rFonts w:ascii="Arial" w:hAnsi="Arial"/>
          <w:color w:val="000000"/>
        </w:rPr>
        <w:t>on the receipts and invoices as identified by HIPPA Regulation</w:t>
      </w:r>
      <w:r w:rsidRPr="00D415D4">
        <w:rPr>
          <w:rFonts w:ascii="Arial" w:hAnsi="Arial"/>
          <w:color w:val="000000"/>
        </w:rPr>
        <w:t>s</w:t>
      </w:r>
      <w:r w:rsidR="001F34EF" w:rsidRPr="00D415D4">
        <w:rPr>
          <w:rFonts w:ascii="Arial" w:hAnsi="Arial"/>
          <w:color w:val="000000"/>
        </w:rPr>
        <w:t xml:space="preserve">. </w:t>
      </w:r>
    </w:p>
    <w:p w:rsidR="009E0356" w:rsidRDefault="009E0356" w:rsidP="009E0356">
      <w:pPr>
        <w:rPr>
          <w:rFonts w:ascii="Arial" w:hAnsi="Arial"/>
        </w:rPr>
      </w:pPr>
    </w:p>
    <w:p w:rsidR="009E0356" w:rsidRPr="006073BB" w:rsidRDefault="009E0356" w:rsidP="009E0356">
      <w:pPr>
        <w:rPr>
          <w:rFonts w:ascii="Arial" w:hAnsi="Arial"/>
          <w:b/>
          <w:u w:val="single"/>
        </w:rPr>
      </w:pPr>
      <w:r w:rsidRPr="006073BB">
        <w:rPr>
          <w:rFonts w:ascii="Arial" w:hAnsi="Arial"/>
          <w:b/>
          <w:u w:val="single"/>
        </w:rPr>
        <w:t>Non-Transferability</w:t>
      </w:r>
    </w:p>
    <w:p w:rsidR="001706B0" w:rsidRDefault="001706B0" w:rsidP="009E0356">
      <w:pPr>
        <w:rPr>
          <w:rFonts w:ascii="Arial" w:hAnsi="Arial"/>
        </w:rPr>
      </w:pPr>
    </w:p>
    <w:p w:rsidR="008A3B5F" w:rsidRDefault="009E0356" w:rsidP="009E0356">
      <w:pPr>
        <w:rPr>
          <w:rFonts w:ascii="Arial" w:hAnsi="Arial"/>
        </w:rPr>
      </w:pPr>
      <w:r>
        <w:rPr>
          <w:rFonts w:ascii="Arial" w:hAnsi="Arial"/>
        </w:rPr>
        <w:t>Th</w:t>
      </w:r>
      <w:r w:rsidR="001706B0">
        <w:rPr>
          <w:rFonts w:ascii="Arial" w:hAnsi="Arial"/>
        </w:rPr>
        <w:t>e</w:t>
      </w:r>
      <w:r w:rsidR="00211800" w:rsidRPr="00D415D4">
        <w:rPr>
          <w:rFonts w:ascii="Arial" w:hAnsi="Arial"/>
          <w:color w:val="000000"/>
        </w:rPr>
        <w:t xml:space="preserve"> </w:t>
      </w:r>
      <w:r w:rsidR="001D541B" w:rsidRPr="00D415D4">
        <w:rPr>
          <w:rFonts w:ascii="Arial" w:hAnsi="Arial"/>
          <w:color w:val="000000"/>
        </w:rPr>
        <w:t>h</w:t>
      </w:r>
      <w:r w:rsidR="00B40BF1" w:rsidRPr="00D415D4">
        <w:rPr>
          <w:rFonts w:ascii="Arial" w:hAnsi="Arial"/>
          <w:color w:val="000000"/>
        </w:rPr>
        <w:t>ealth</w:t>
      </w:r>
      <w:r w:rsidR="00B40BF1">
        <w:rPr>
          <w:rFonts w:ascii="Arial" w:hAnsi="Arial"/>
        </w:rPr>
        <w:t xml:space="preserve"> care </w:t>
      </w:r>
      <w:r w:rsidR="002378AC">
        <w:rPr>
          <w:rFonts w:ascii="Arial" w:hAnsi="Arial"/>
        </w:rPr>
        <w:t>cost reimbursement</w:t>
      </w:r>
      <w:r w:rsidR="001706B0">
        <w:rPr>
          <w:rFonts w:ascii="Arial" w:hAnsi="Arial"/>
        </w:rPr>
        <w:t xml:space="preserve"> is the total annual</w:t>
      </w:r>
      <w:r w:rsidR="00341291">
        <w:rPr>
          <w:rFonts w:ascii="Arial" w:hAnsi="Arial"/>
        </w:rPr>
        <w:t xml:space="preserve"> amount for each eligible licensed</w:t>
      </w:r>
      <w:r>
        <w:rPr>
          <w:rFonts w:ascii="Arial" w:hAnsi="Arial"/>
        </w:rPr>
        <w:t xml:space="preserve"> </w:t>
      </w:r>
      <w:r w:rsidR="00341291">
        <w:rPr>
          <w:rFonts w:ascii="Arial" w:hAnsi="Arial"/>
        </w:rPr>
        <w:t>operator and his/her eligible immediate family members.  Should the annual amount</w:t>
      </w:r>
      <w:r w:rsidR="008A3B5F">
        <w:rPr>
          <w:rFonts w:ascii="Arial" w:hAnsi="Arial"/>
        </w:rPr>
        <w:t xml:space="preserve"> requested by a licensed operator be less than the</w:t>
      </w:r>
      <w:r w:rsidR="001D541B">
        <w:rPr>
          <w:rFonts w:ascii="Arial" w:hAnsi="Arial"/>
        </w:rPr>
        <w:t xml:space="preserve"> maximum</w:t>
      </w:r>
      <w:r w:rsidR="008A3B5F">
        <w:rPr>
          <w:rFonts w:ascii="Arial" w:hAnsi="Arial"/>
        </w:rPr>
        <w:t>, the remaining balance</w:t>
      </w:r>
      <w:r w:rsidR="001D541B">
        <w:rPr>
          <w:rFonts w:ascii="Arial" w:hAnsi="Arial"/>
        </w:rPr>
        <w:t xml:space="preserve"> will</w:t>
      </w:r>
      <w:r w:rsidR="008A3B5F">
        <w:rPr>
          <w:rFonts w:ascii="Arial" w:hAnsi="Arial"/>
        </w:rPr>
        <w:t xml:space="preserve"> not </w:t>
      </w:r>
      <w:r w:rsidR="001D541B">
        <w:rPr>
          <w:rFonts w:ascii="Arial" w:hAnsi="Arial"/>
        </w:rPr>
        <w:t>transfer</w:t>
      </w:r>
      <w:r>
        <w:rPr>
          <w:rFonts w:ascii="Arial" w:hAnsi="Arial"/>
        </w:rPr>
        <w:t xml:space="preserve"> </w:t>
      </w:r>
      <w:r w:rsidR="008A3B5F">
        <w:rPr>
          <w:rFonts w:ascii="Arial" w:hAnsi="Arial"/>
        </w:rPr>
        <w:t>to any other eligible licensed operator</w:t>
      </w:r>
      <w:r w:rsidR="001D541B">
        <w:rPr>
          <w:rFonts w:ascii="Arial" w:hAnsi="Arial"/>
        </w:rPr>
        <w:t xml:space="preserve"> nor will it accrue </w:t>
      </w:r>
      <w:r w:rsidR="008A3B5F">
        <w:rPr>
          <w:rFonts w:ascii="Arial" w:hAnsi="Arial"/>
        </w:rPr>
        <w:t>to increase an individual’s total annual</w:t>
      </w:r>
      <w:r w:rsidR="001D541B">
        <w:rPr>
          <w:rFonts w:ascii="Arial" w:hAnsi="Arial"/>
        </w:rPr>
        <w:t xml:space="preserve"> amount</w:t>
      </w:r>
      <w:r w:rsidR="008A3B5F">
        <w:rPr>
          <w:rFonts w:ascii="Arial" w:hAnsi="Arial"/>
        </w:rPr>
        <w:t xml:space="preserve"> available in subsequent years.</w:t>
      </w:r>
    </w:p>
    <w:p w:rsidR="00736AF0" w:rsidRDefault="00736AF0" w:rsidP="009E0356">
      <w:pPr>
        <w:rPr>
          <w:rFonts w:ascii="Arial" w:hAnsi="Arial"/>
        </w:rPr>
      </w:pPr>
    </w:p>
    <w:p w:rsidR="009E0356" w:rsidRPr="006073BB" w:rsidRDefault="009E0356" w:rsidP="009E0356">
      <w:pPr>
        <w:rPr>
          <w:rFonts w:ascii="Arial" w:hAnsi="Arial"/>
          <w:b/>
          <w:u w:val="single"/>
        </w:rPr>
      </w:pPr>
      <w:r w:rsidRPr="006073BB">
        <w:rPr>
          <w:rFonts w:ascii="Arial" w:hAnsi="Arial"/>
          <w:b/>
          <w:u w:val="single"/>
        </w:rPr>
        <w:t>Reimbursement Exemption</w:t>
      </w:r>
    </w:p>
    <w:p w:rsidR="009E0356" w:rsidRDefault="009E0356" w:rsidP="009E0356">
      <w:pPr>
        <w:rPr>
          <w:rFonts w:ascii="Arial" w:hAnsi="Arial"/>
          <w:b/>
        </w:rPr>
      </w:pPr>
    </w:p>
    <w:p w:rsidR="00AA3396" w:rsidRDefault="00DE7478" w:rsidP="00DD64B8">
      <w:pPr>
        <w:rPr>
          <w:rFonts w:ascii="Arial" w:hAnsi="Arial"/>
        </w:rPr>
      </w:pPr>
      <w:r>
        <w:rPr>
          <w:rFonts w:ascii="Arial" w:hAnsi="Arial"/>
        </w:rPr>
        <w:t xml:space="preserve">If </w:t>
      </w:r>
      <w:r w:rsidR="00B40BF1">
        <w:rPr>
          <w:rFonts w:ascii="Arial" w:hAnsi="Arial"/>
        </w:rPr>
        <w:t>health care cost</w:t>
      </w:r>
      <w:r w:rsidR="00FA605A">
        <w:rPr>
          <w:rFonts w:ascii="Arial" w:hAnsi="Arial"/>
        </w:rPr>
        <w:t xml:space="preserve"> </w:t>
      </w:r>
      <w:r>
        <w:rPr>
          <w:rFonts w:ascii="Arial" w:hAnsi="Arial"/>
        </w:rPr>
        <w:t xml:space="preserve">expenses for a particular service or series of services within a one-month period exceed $500 (five-hundred dollars) which creates a financial hardship for the licensed operator, a written request </w:t>
      </w:r>
      <w:r w:rsidR="00FA605A">
        <w:rPr>
          <w:rFonts w:ascii="Arial" w:hAnsi="Arial"/>
        </w:rPr>
        <w:t xml:space="preserve">for advance payment to the health care cost provider </w:t>
      </w:r>
      <w:r>
        <w:rPr>
          <w:rFonts w:ascii="Arial" w:hAnsi="Arial"/>
        </w:rPr>
        <w:t>may be made to the Bureau Chief.</w:t>
      </w:r>
    </w:p>
    <w:p w:rsidR="00AA3396" w:rsidRDefault="00AA3396" w:rsidP="00DD64B8">
      <w:pPr>
        <w:rPr>
          <w:rFonts w:ascii="Arial" w:hAnsi="Arial"/>
        </w:rPr>
      </w:pPr>
    </w:p>
    <w:p w:rsidR="00AA3396" w:rsidRDefault="00AA3396" w:rsidP="00DD64B8">
      <w:pPr>
        <w:rPr>
          <w:rFonts w:ascii="Arial" w:hAnsi="Arial"/>
        </w:rPr>
      </w:pPr>
      <w:r>
        <w:rPr>
          <w:rFonts w:ascii="Arial" w:hAnsi="Arial"/>
        </w:rPr>
        <w:t>The request must include documentation from the medical provider: 1) the cost of the procedure, and, 2) the portion that the operator’s health care insurance provider will be paying.</w:t>
      </w:r>
    </w:p>
    <w:p w:rsidR="00AA3396" w:rsidRDefault="00AA3396" w:rsidP="00DD64B8">
      <w:pPr>
        <w:rPr>
          <w:rFonts w:ascii="Arial" w:hAnsi="Arial"/>
        </w:rPr>
      </w:pPr>
    </w:p>
    <w:p w:rsidR="00B915FF" w:rsidRDefault="00483FB7" w:rsidP="00DD64B8">
      <w:pPr>
        <w:rPr>
          <w:rFonts w:ascii="Arial" w:hAnsi="Arial"/>
        </w:rPr>
      </w:pPr>
      <w:r>
        <w:rPr>
          <w:rFonts w:ascii="Arial" w:hAnsi="Arial"/>
        </w:rPr>
        <w:t>If approved, the health care provider must be or become an approved vendor with the State of Nevada in order to issue the payment.</w:t>
      </w:r>
    </w:p>
    <w:p w:rsidR="00AA3396" w:rsidRDefault="00AA3396" w:rsidP="00DD64B8">
      <w:pPr>
        <w:rPr>
          <w:rFonts w:ascii="Arial" w:hAnsi="Arial"/>
        </w:rPr>
      </w:pPr>
    </w:p>
    <w:p w:rsidR="000E58FC" w:rsidRDefault="00AA3396" w:rsidP="00DD64B8">
      <w:pPr>
        <w:rPr>
          <w:rFonts w:ascii="Arial" w:hAnsi="Arial"/>
        </w:rPr>
      </w:pPr>
      <w:r>
        <w:rPr>
          <w:rFonts w:ascii="Arial" w:hAnsi="Arial"/>
        </w:rPr>
        <w:t xml:space="preserve">A request for an exception to issue payment to the operator rather than the health care provider must be in writing identifying the circumstance that cannot be overcome by the </w:t>
      </w:r>
      <w:r w:rsidR="002D54F2">
        <w:rPr>
          <w:rFonts w:ascii="Arial" w:hAnsi="Arial"/>
        </w:rPr>
        <w:t xml:space="preserve">health care provided that precludes them from becoming an approved vendor with the State of Nevada.  The request will be submitted to the </w:t>
      </w:r>
      <w:r>
        <w:rPr>
          <w:rFonts w:ascii="Arial" w:hAnsi="Arial"/>
        </w:rPr>
        <w:t xml:space="preserve">Deputy Administrator of </w:t>
      </w:r>
      <w:r>
        <w:rPr>
          <w:rFonts w:ascii="Arial" w:hAnsi="Arial"/>
        </w:rPr>
        <w:lastRenderedPageBreak/>
        <w:t>Operations, or designee</w:t>
      </w:r>
      <w:r w:rsidR="002D54F2">
        <w:rPr>
          <w:rFonts w:ascii="Arial" w:hAnsi="Arial"/>
        </w:rPr>
        <w:t xml:space="preserve"> for consideration</w:t>
      </w:r>
      <w:r>
        <w:rPr>
          <w:rFonts w:ascii="Arial" w:hAnsi="Arial"/>
        </w:rPr>
        <w:t>.  In the event an exception is granted, the</w:t>
      </w:r>
      <w:r w:rsidR="000E58FC">
        <w:rPr>
          <w:rFonts w:ascii="Arial" w:hAnsi="Arial"/>
        </w:rPr>
        <w:t xml:space="preserve"> </w:t>
      </w:r>
      <w:r>
        <w:rPr>
          <w:rFonts w:ascii="Arial" w:hAnsi="Arial"/>
        </w:rPr>
        <w:t xml:space="preserve">operator must submit to the Bureau Chief proof of payment within 20 days of </w:t>
      </w:r>
      <w:r w:rsidR="001F7372" w:rsidRPr="001F7372">
        <w:rPr>
          <w:rFonts w:ascii="Arial" w:hAnsi="Arial"/>
        </w:rPr>
        <w:t>issuing payment to the operator</w:t>
      </w:r>
      <w:r>
        <w:rPr>
          <w:rFonts w:ascii="Arial" w:hAnsi="Arial"/>
        </w:rPr>
        <w:t>.</w:t>
      </w:r>
    </w:p>
    <w:p w:rsidR="000E58FC" w:rsidRDefault="000E58FC" w:rsidP="000E58FC">
      <w:r>
        <w:rPr>
          <w:rFonts w:ascii="Arial" w:hAnsi="Arial"/>
        </w:rPr>
        <w:br w:type="page"/>
      </w:r>
    </w:p>
    <w:p w:rsidR="000E58FC" w:rsidRDefault="000E58FC" w:rsidP="000E58FC"/>
    <w:p w:rsidR="000E58FC" w:rsidRDefault="000E58FC" w:rsidP="000E58FC"/>
    <w:p w:rsidR="000E58FC" w:rsidRDefault="00B35C9C" w:rsidP="000E58FC">
      <w:r w:rsidRPr="00A678C8">
        <w:rPr>
          <w:noProof/>
        </w:rPr>
        <w:drawing>
          <wp:inline distT="0" distB="0" distL="0" distR="0">
            <wp:extent cx="7132320" cy="3738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8FC" w:rsidRDefault="000E58FC" w:rsidP="000E58FC"/>
    <w:p w:rsidR="000E58FC" w:rsidRDefault="00B35C9C" w:rsidP="000E58F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24130</wp:posOffset>
                </wp:positionV>
                <wp:extent cx="4105275" cy="2771775"/>
                <wp:effectExtent l="9525" t="11430" r="9525" b="76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05257" id="Rectangle 2" o:spid="_x0000_s1026" style="position:absolute;margin-left:164.25pt;margin-top:1.9pt;width:323.25pt;height:21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2uDIAIAAD0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"/>
            </w:pict>
          </mc:Fallback>
        </mc:AlternateContent>
      </w:r>
    </w:p>
    <w:p w:rsidR="000E58FC" w:rsidRPr="00CF0205" w:rsidRDefault="000E58FC" w:rsidP="000E58FC">
      <w:pPr>
        <w:jc w:val="right"/>
        <w:rPr>
          <w:u w:val="single"/>
        </w:rPr>
      </w:pPr>
      <w:r w:rsidRPr="00CF0205">
        <w:rPr>
          <w:u w:val="single"/>
        </w:rPr>
        <w:t xml:space="preserve">APPROVED BY </w:t>
      </w:r>
    </w:p>
    <w:p w:rsidR="000E58FC" w:rsidRDefault="000E58FC" w:rsidP="000E58FC">
      <w:pPr>
        <w:jc w:val="right"/>
      </w:pPr>
    </w:p>
    <w:p w:rsidR="000E58FC" w:rsidRDefault="000E58FC" w:rsidP="000E58FC">
      <w:pPr>
        <w:jc w:val="right"/>
      </w:pPr>
      <w:r>
        <w:t>United States Department of Education</w:t>
      </w:r>
    </w:p>
    <w:p w:rsidR="000E58FC" w:rsidRDefault="000E58FC" w:rsidP="000E58FC">
      <w:pPr>
        <w:jc w:val="right"/>
      </w:pPr>
      <w:r>
        <w:t>Office of Special Education and Rehabilitative Services</w:t>
      </w:r>
    </w:p>
    <w:p w:rsidR="000E58FC" w:rsidRDefault="000E58FC" w:rsidP="000E58FC">
      <w:pPr>
        <w:jc w:val="right"/>
      </w:pPr>
      <w:r>
        <w:t xml:space="preserve">Rehabilitation Services Administration </w:t>
      </w:r>
    </w:p>
    <w:p w:rsidR="000E58FC" w:rsidRDefault="000E58FC" w:rsidP="000E58FC">
      <w:pPr>
        <w:jc w:val="right"/>
      </w:pPr>
    </w:p>
    <w:p w:rsidR="000E58FC" w:rsidRPr="00CF0205" w:rsidRDefault="00B35AEA" w:rsidP="000E58FC">
      <w:pPr>
        <w:jc w:val="right"/>
        <w:rPr>
          <w:u w:val="single"/>
        </w:rPr>
      </w:pPr>
      <w:r>
        <w:rPr>
          <w:u w:val="single"/>
        </w:rPr>
        <w:t>DATE OF APPROVAL</w:t>
      </w:r>
    </w:p>
    <w:p w:rsidR="000E58FC" w:rsidRDefault="000E58FC" w:rsidP="000E58FC">
      <w:pPr>
        <w:jc w:val="right"/>
      </w:pPr>
    </w:p>
    <w:p w:rsidR="000E58FC" w:rsidRDefault="000E58FC" w:rsidP="000E58FC">
      <w:pPr>
        <w:jc w:val="right"/>
      </w:pPr>
      <w:r>
        <w:t>February 23, 2015</w:t>
      </w:r>
    </w:p>
    <w:p w:rsidR="000E58FC" w:rsidRDefault="000E58FC" w:rsidP="000E58FC">
      <w:pPr>
        <w:jc w:val="right"/>
      </w:pPr>
    </w:p>
    <w:p w:rsidR="000E58FC" w:rsidRPr="00CF0205" w:rsidRDefault="000E58FC" w:rsidP="000E58FC">
      <w:pPr>
        <w:jc w:val="right"/>
        <w:rPr>
          <w:u w:val="single"/>
        </w:rPr>
      </w:pPr>
      <w:r w:rsidRPr="00CF0205">
        <w:rPr>
          <w:u w:val="single"/>
        </w:rPr>
        <w:t xml:space="preserve">SIGNED BY </w:t>
      </w:r>
    </w:p>
    <w:p w:rsidR="000E58FC" w:rsidRDefault="000E58FC" w:rsidP="000E58FC">
      <w:pPr>
        <w:jc w:val="right"/>
      </w:pPr>
    </w:p>
    <w:p w:rsidR="000E58FC" w:rsidRDefault="000E58FC" w:rsidP="000E58FC">
      <w:pPr>
        <w:jc w:val="right"/>
      </w:pPr>
      <w:r>
        <w:t xml:space="preserve">Janet L. LaBreck, Commissioner </w:t>
      </w:r>
    </w:p>
    <w:p w:rsidR="000E58FC" w:rsidRDefault="000E58FC" w:rsidP="000E58FC">
      <w:pPr>
        <w:jc w:val="right"/>
      </w:pPr>
    </w:p>
    <w:p w:rsidR="000E58FC" w:rsidRPr="00CF0205" w:rsidRDefault="00241847" w:rsidP="0024184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1847">
        <w:rPr>
          <w:sz w:val="18"/>
        </w:rPr>
        <w:t xml:space="preserve"> </w:t>
      </w:r>
      <w:r w:rsidRPr="00241847">
        <w:rPr>
          <w:sz w:val="16"/>
        </w:rPr>
        <w:t>(Approval letter attached</w:t>
      </w:r>
      <w:r w:rsidR="00B35AEA">
        <w:rPr>
          <w:sz w:val="16"/>
        </w:rPr>
        <w:t>,</w:t>
      </w:r>
      <w:r w:rsidRPr="00241847">
        <w:rPr>
          <w:sz w:val="16"/>
        </w:rPr>
        <w:t xml:space="preserve"> page 5 of this document)</w:t>
      </w:r>
      <w:r w:rsidR="000E58FC">
        <w:br w:type="page"/>
      </w:r>
      <w:r w:rsidR="00B35C9C" w:rsidRPr="00CF0205">
        <w:rPr>
          <w:noProof/>
        </w:rPr>
        <w:lastRenderedPageBreak/>
        <w:drawing>
          <wp:inline distT="0" distB="0" distL="0" distR="0">
            <wp:extent cx="5939790" cy="7680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96" w:rsidRPr="00B915FF" w:rsidRDefault="000E58FC" w:rsidP="000E58FC">
      <w:pPr>
        <w:tabs>
          <w:tab w:val="left" w:pos="7304"/>
        </w:tabs>
        <w:rPr>
          <w:rFonts w:ascii="Arial" w:hAnsi="Arial"/>
        </w:rPr>
      </w:pPr>
      <w:r>
        <w:rPr>
          <w:rFonts w:ascii="Arial" w:hAnsi="Arial"/>
        </w:rPr>
        <w:lastRenderedPageBreak/>
        <w:tab/>
      </w:r>
    </w:p>
    <w:sectPr w:rsidR="00AA3396" w:rsidRPr="00B915FF" w:rsidSect="000E58FC">
      <w:headerReference w:type="default" r:id="rId10"/>
      <w:footerReference w:type="default" r:id="rId11"/>
      <w:pgSz w:w="12240" w:h="15840"/>
      <w:pgMar w:top="112" w:right="1440" w:bottom="720" w:left="1440" w:header="360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9CA" w:rsidRDefault="003419CA">
      <w:r>
        <w:separator/>
      </w:r>
    </w:p>
  </w:endnote>
  <w:endnote w:type="continuationSeparator" w:id="0">
    <w:p w:rsidR="003419CA" w:rsidRDefault="0034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8FC" w:rsidRPr="000E58FC" w:rsidRDefault="000E58FC" w:rsidP="000E58FC"/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6635"/>
      <w:gridCol w:w="2617"/>
    </w:tblGrid>
    <w:tr w:rsidR="000E58FC" w:rsidRPr="000E58FC" w:rsidTr="00365FBA">
      <w:tblPrEx>
        <w:tblCellMar>
          <w:top w:w="0" w:type="dxa"/>
          <w:bottom w:w="0" w:type="dxa"/>
        </w:tblCellMar>
      </w:tblPrEx>
      <w:tc>
        <w:tcPr>
          <w:tcW w:w="6720" w:type="dxa"/>
          <w:tcBorders>
            <w:top w:val="single" w:sz="12" w:space="0" w:color="auto"/>
          </w:tcBorders>
        </w:tcPr>
        <w:p w:rsidR="000E58FC" w:rsidRDefault="000E58FC" w:rsidP="000E58FC">
          <w:pPr>
            <w:tabs>
              <w:tab w:val="center" w:pos="4320"/>
              <w:tab w:val="right" w:pos="8640"/>
            </w:tabs>
            <w:rPr>
              <w:rFonts w:ascii="Calibri" w:hAnsi="Calibri" w:cs="Arial"/>
              <w:bCs/>
            </w:rPr>
          </w:pPr>
          <w:r w:rsidRPr="000E58FC">
            <w:rPr>
              <w:rFonts w:ascii="Calibri" w:hAnsi="Calibri" w:cs="Arial"/>
              <w:bCs/>
            </w:rPr>
            <w:t xml:space="preserve">4.9 BEN Health Care Cost Reimbursement Policy </w:t>
          </w:r>
        </w:p>
        <w:p w:rsidR="000E58FC" w:rsidRPr="000E58FC" w:rsidRDefault="000E58FC" w:rsidP="000E58FC">
          <w:pPr>
            <w:tabs>
              <w:tab w:val="center" w:pos="4320"/>
              <w:tab w:val="right" w:pos="8640"/>
            </w:tabs>
            <w:rPr>
              <w:rFonts w:ascii="Calibri" w:hAnsi="Calibri" w:cs="Arial"/>
              <w:bCs/>
              <w:sz w:val="10"/>
              <w:szCs w:val="10"/>
            </w:rPr>
          </w:pPr>
        </w:p>
      </w:tc>
      <w:tc>
        <w:tcPr>
          <w:tcW w:w="2640" w:type="dxa"/>
          <w:tcBorders>
            <w:top w:val="single" w:sz="12" w:space="0" w:color="auto"/>
          </w:tcBorders>
        </w:tcPr>
        <w:p w:rsidR="000E58FC" w:rsidRPr="000E58FC" w:rsidRDefault="000E58FC" w:rsidP="000E58FC">
          <w:pPr>
            <w:tabs>
              <w:tab w:val="center" w:pos="4320"/>
              <w:tab w:val="right" w:pos="8640"/>
            </w:tabs>
            <w:jc w:val="right"/>
            <w:rPr>
              <w:rFonts w:ascii="Calibri" w:hAnsi="Calibri"/>
              <w:sz w:val="22"/>
              <w:szCs w:val="22"/>
            </w:rPr>
          </w:pPr>
          <w:r w:rsidRPr="000E58FC">
            <w:rPr>
              <w:rFonts w:ascii="Calibri" w:hAnsi="Calibri"/>
              <w:sz w:val="22"/>
              <w:szCs w:val="22"/>
            </w:rPr>
            <w:t>Effective Date: 06/25/2015</w:t>
          </w:r>
        </w:p>
      </w:tc>
    </w:tr>
  </w:tbl>
  <w:p w:rsidR="00DF6696" w:rsidRPr="000E58FC" w:rsidRDefault="000E58FC" w:rsidP="000E58FC">
    <w:pPr>
      <w:tabs>
        <w:tab w:val="center" w:pos="4320"/>
        <w:tab w:val="right" w:pos="8640"/>
      </w:tabs>
      <w:jc w:val="center"/>
      <w:rPr>
        <w:rFonts w:ascii="Calibri" w:hAnsi="Calibri"/>
        <w:sz w:val="22"/>
        <w:szCs w:val="22"/>
      </w:rPr>
    </w:pPr>
    <w:r w:rsidRPr="000E58FC">
      <w:rPr>
        <w:rFonts w:ascii="Calibri" w:hAnsi="Calibri"/>
        <w:sz w:val="22"/>
        <w:szCs w:val="22"/>
      </w:rPr>
      <w:t xml:space="preserve">Page </w:t>
    </w:r>
    <w:r w:rsidRPr="000E58FC">
      <w:rPr>
        <w:rFonts w:ascii="Calibri" w:hAnsi="Calibri"/>
        <w:b/>
        <w:bCs/>
        <w:sz w:val="22"/>
        <w:szCs w:val="22"/>
      </w:rPr>
      <w:fldChar w:fldCharType="begin"/>
    </w:r>
    <w:r w:rsidRPr="000E58FC">
      <w:rPr>
        <w:rFonts w:ascii="Calibri" w:hAnsi="Calibri"/>
        <w:b/>
        <w:bCs/>
        <w:sz w:val="22"/>
        <w:szCs w:val="22"/>
      </w:rPr>
      <w:instrText xml:space="preserve"> PAGE </w:instrText>
    </w:r>
    <w:r w:rsidRPr="000E58FC">
      <w:rPr>
        <w:rFonts w:ascii="Calibri" w:hAnsi="Calibri"/>
        <w:b/>
        <w:bCs/>
        <w:sz w:val="22"/>
        <w:szCs w:val="22"/>
      </w:rPr>
      <w:fldChar w:fldCharType="separate"/>
    </w:r>
    <w:r w:rsidR="00944171">
      <w:rPr>
        <w:rFonts w:ascii="Calibri" w:hAnsi="Calibri"/>
        <w:b/>
        <w:bCs/>
        <w:noProof/>
        <w:sz w:val="22"/>
        <w:szCs w:val="22"/>
      </w:rPr>
      <w:t>1</w:t>
    </w:r>
    <w:r w:rsidRPr="000E58FC">
      <w:rPr>
        <w:rFonts w:ascii="Calibri" w:hAnsi="Calibri"/>
        <w:b/>
        <w:bCs/>
        <w:sz w:val="22"/>
        <w:szCs w:val="22"/>
      </w:rPr>
      <w:fldChar w:fldCharType="end"/>
    </w:r>
    <w:r w:rsidRPr="000E58FC">
      <w:rPr>
        <w:rFonts w:ascii="Calibri" w:hAnsi="Calibri"/>
        <w:sz w:val="22"/>
        <w:szCs w:val="22"/>
      </w:rPr>
      <w:t xml:space="preserve"> of </w:t>
    </w:r>
    <w:r w:rsidRPr="000E58FC">
      <w:rPr>
        <w:rFonts w:ascii="Calibri" w:hAnsi="Calibri"/>
        <w:b/>
        <w:bCs/>
        <w:sz w:val="22"/>
        <w:szCs w:val="22"/>
      </w:rPr>
      <w:fldChar w:fldCharType="begin"/>
    </w:r>
    <w:r w:rsidRPr="000E58FC">
      <w:rPr>
        <w:rFonts w:ascii="Calibri" w:hAnsi="Calibri"/>
        <w:b/>
        <w:bCs/>
        <w:sz w:val="22"/>
        <w:szCs w:val="22"/>
      </w:rPr>
      <w:instrText xml:space="preserve"> NUMPAGES  </w:instrText>
    </w:r>
    <w:r w:rsidRPr="000E58FC">
      <w:rPr>
        <w:rFonts w:ascii="Calibri" w:hAnsi="Calibri"/>
        <w:b/>
        <w:bCs/>
        <w:sz w:val="22"/>
        <w:szCs w:val="22"/>
      </w:rPr>
      <w:fldChar w:fldCharType="separate"/>
    </w:r>
    <w:r w:rsidR="00944171">
      <w:rPr>
        <w:rFonts w:ascii="Calibri" w:hAnsi="Calibri"/>
        <w:b/>
        <w:bCs/>
        <w:noProof/>
        <w:sz w:val="22"/>
        <w:szCs w:val="22"/>
      </w:rPr>
      <w:t>7</w:t>
    </w:r>
    <w:r w:rsidRPr="000E58FC">
      <w:rPr>
        <w:rFonts w:ascii="Calibri" w:hAnsi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9CA" w:rsidRDefault="003419CA">
      <w:r>
        <w:separator/>
      </w:r>
    </w:p>
  </w:footnote>
  <w:footnote w:type="continuationSeparator" w:id="0">
    <w:p w:rsidR="003419CA" w:rsidRDefault="00341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6840"/>
      <w:gridCol w:w="2628"/>
    </w:tblGrid>
    <w:tr w:rsidR="00DF6696" w:rsidTr="000E58FC">
      <w:tblPrEx>
        <w:tblCellMar>
          <w:top w:w="0" w:type="dxa"/>
          <w:bottom w:w="0" w:type="dxa"/>
        </w:tblCellMar>
      </w:tblPrEx>
      <w:trPr>
        <w:trHeight w:val="1084"/>
      </w:trPr>
      <w:tc>
        <w:tcPr>
          <w:tcW w:w="6840" w:type="dxa"/>
        </w:tcPr>
        <w:p w:rsidR="00DF6696" w:rsidRPr="00B35C9C" w:rsidRDefault="00DF6696">
          <w:pPr>
            <w:pStyle w:val="Header"/>
            <w:rPr>
              <w:rFonts w:ascii="Arial" w:hAnsi="Arial" w:cs="Arial"/>
              <w:b/>
              <w:bCs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35C9C">
            <w:rPr>
              <w:rFonts w:ascii="Arial" w:hAnsi="Arial" w:cs="Arial"/>
              <w:b/>
              <w:bCs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REHABILITATION DIVISION</w:t>
          </w:r>
          <w:r w:rsidRPr="00B35C9C">
            <w:rPr>
              <w:rFonts w:ascii="Arial" w:hAnsi="Arial" w:cs="Arial"/>
              <w:b/>
              <w:bCs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B35C9C">
            <w:rPr>
              <w:rFonts w:ascii="Arial" w:hAnsi="Arial" w:cs="Arial"/>
              <w:b/>
              <w:bCs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</w:p>
        <w:p w:rsidR="00DF6696" w:rsidRDefault="00DF6696">
          <w:pPr>
            <w:pStyle w:val="Header"/>
            <w:rPr>
              <w:rFonts w:ascii="Arial" w:hAnsi="Arial" w:cs="Arial"/>
              <w:b/>
              <w:bCs/>
              <w:sz w:val="32"/>
            </w:rPr>
          </w:pPr>
          <w:r>
            <w:rPr>
              <w:rFonts w:ascii="Arial" w:hAnsi="Arial" w:cs="Arial"/>
              <w:b/>
              <w:bCs/>
              <w:sz w:val="32"/>
            </w:rPr>
            <w:t>GENERAL ADMINISTRATIVE MANUAL</w:t>
          </w:r>
        </w:p>
        <w:p w:rsidR="00BC3E26" w:rsidRPr="00B915FF" w:rsidRDefault="006073BB" w:rsidP="000E58FC">
          <w:pPr>
            <w:pStyle w:val="Head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4.9 </w:t>
          </w:r>
          <w:r w:rsidR="00DF6696">
            <w:rPr>
              <w:rFonts w:ascii="Arial" w:hAnsi="Arial"/>
              <w:b/>
              <w:sz w:val="28"/>
            </w:rPr>
            <w:t xml:space="preserve">BEN </w:t>
          </w:r>
          <w:r w:rsidR="008B63D8">
            <w:rPr>
              <w:rFonts w:ascii="Arial" w:hAnsi="Arial"/>
              <w:b/>
              <w:sz w:val="28"/>
            </w:rPr>
            <w:t>Health Care Cost Reimbursement</w:t>
          </w:r>
          <w:r w:rsidR="00DF6696">
            <w:rPr>
              <w:rFonts w:ascii="Arial" w:hAnsi="Arial"/>
              <w:b/>
              <w:sz w:val="28"/>
            </w:rPr>
            <w:t xml:space="preserve"> Policy</w:t>
          </w:r>
          <w:r w:rsidR="00BC3E26">
            <w:rPr>
              <w:rFonts w:ascii="Arial" w:hAnsi="Arial"/>
              <w:b/>
              <w:sz w:val="28"/>
            </w:rPr>
            <w:t xml:space="preserve"> </w:t>
          </w:r>
        </w:p>
      </w:tc>
      <w:tc>
        <w:tcPr>
          <w:tcW w:w="2628" w:type="dxa"/>
        </w:tcPr>
        <w:p w:rsidR="00DF6696" w:rsidRDefault="00B35C9C">
          <w:pPr>
            <w:pStyle w:val="Header"/>
            <w:jc w:val="center"/>
          </w:pPr>
          <w:r w:rsidRPr="00B35C9C">
            <w:rPr>
              <w:rFonts w:ascii="Arial" w:hAnsi="Arial" w:cs="Arial"/>
              <w:b/>
              <w:bCs/>
              <w:noProof/>
              <w:sz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>
                <wp:extent cx="1821180" cy="746125"/>
                <wp:effectExtent l="0" t="0" r="0" b="0"/>
                <wp:docPr id="3" name="Picture 3" descr="DETR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TR Graph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F6696" w:rsidRDefault="00DF6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6D1"/>
    <w:multiLevelType w:val="hybridMultilevel"/>
    <w:tmpl w:val="861E9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9533B"/>
    <w:multiLevelType w:val="hybridMultilevel"/>
    <w:tmpl w:val="96AE3508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2B1188"/>
    <w:multiLevelType w:val="hybridMultilevel"/>
    <w:tmpl w:val="9F1203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D2385B"/>
    <w:multiLevelType w:val="hybridMultilevel"/>
    <w:tmpl w:val="8A426D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286A17"/>
    <w:multiLevelType w:val="hybridMultilevel"/>
    <w:tmpl w:val="11EAAEC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D303FD"/>
    <w:multiLevelType w:val="hybridMultilevel"/>
    <w:tmpl w:val="A3F46BA4"/>
    <w:lvl w:ilvl="0" w:tplc="C4CEA90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CA75659"/>
    <w:multiLevelType w:val="hybridMultilevel"/>
    <w:tmpl w:val="EC46B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663F8C"/>
    <w:multiLevelType w:val="hybridMultilevel"/>
    <w:tmpl w:val="E67EE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3E7B7F"/>
    <w:multiLevelType w:val="hybridMultilevel"/>
    <w:tmpl w:val="24E6F166"/>
    <w:lvl w:ilvl="0" w:tplc="4B6E110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E326CC7"/>
    <w:multiLevelType w:val="hybridMultilevel"/>
    <w:tmpl w:val="A59E29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4B2655"/>
    <w:multiLevelType w:val="hybridMultilevel"/>
    <w:tmpl w:val="CA4EC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0C6968"/>
    <w:multiLevelType w:val="hybridMultilevel"/>
    <w:tmpl w:val="8A28ABD0"/>
    <w:lvl w:ilvl="0" w:tplc="8604D840">
      <w:start w:val="1"/>
      <w:numFmt w:val="lowerLetter"/>
      <w:lvlText w:val="(%1)"/>
      <w:lvlJc w:val="left"/>
      <w:pPr>
        <w:tabs>
          <w:tab w:val="num" w:pos="1565"/>
        </w:tabs>
        <w:ind w:left="1565" w:hanging="9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12" w15:restartNumberingAfterBreak="0">
    <w:nsid w:val="7E1C571A"/>
    <w:multiLevelType w:val="hybridMultilevel"/>
    <w:tmpl w:val="526A0922"/>
    <w:lvl w:ilvl="0" w:tplc="66F41C1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43"/>
    <w:rsid w:val="00003C74"/>
    <w:rsid w:val="00072D41"/>
    <w:rsid w:val="000D3979"/>
    <w:rsid w:val="000E58FC"/>
    <w:rsid w:val="000F3D41"/>
    <w:rsid w:val="00151EE4"/>
    <w:rsid w:val="001706B0"/>
    <w:rsid w:val="001B4D1A"/>
    <w:rsid w:val="001B697D"/>
    <w:rsid w:val="001C05B0"/>
    <w:rsid w:val="001D541B"/>
    <w:rsid w:val="001E6711"/>
    <w:rsid w:val="001F34EF"/>
    <w:rsid w:val="001F7372"/>
    <w:rsid w:val="00211800"/>
    <w:rsid w:val="002378AC"/>
    <w:rsid w:val="00241847"/>
    <w:rsid w:val="00261FE9"/>
    <w:rsid w:val="00267774"/>
    <w:rsid w:val="002B54E4"/>
    <w:rsid w:val="002D54F2"/>
    <w:rsid w:val="002E5475"/>
    <w:rsid w:val="002E6373"/>
    <w:rsid w:val="00314AF6"/>
    <w:rsid w:val="00326327"/>
    <w:rsid w:val="00341291"/>
    <w:rsid w:val="003419CA"/>
    <w:rsid w:val="00365FBA"/>
    <w:rsid w:val="003718C9"/>
    <w:rsid w:val="00382186"/>
    <w:rsid w:val="00385A59"/>
    <w:rsid w:val="00396E0C"/>
    <w:rsid w:val="00396EDF"/>
    <w:rsid w:val="003B52D2"/>
    <w:rsid w:val="003F3121"/>
    <w:rsid w:val="0043538E"/>
    <w:rsid w:val="00483FB7"/>
    <w:rsid w:val="004F1833"/>
    <w:rsid w:val="005061EB"/>
    <w:rsid w:val="005302A0"/>
    <w:rsid w:val="005A538E"/>
    <w:rsid w:val="005B3EB2"/>
    <w:rsid w:val="005D2849"/>
    <w:rsid w:val="005E28A0"/>
    <w:rsid w:val="006073BB"/>
    <w:rsid w:val="00661BE0"/>
    <w:rsid w:val="006A10FB"/>
    <w:rsid w:val="00736AF0"/>
    <w:rsid w:val="00751167"/>
    <w:rsid w:val="00760C71"/>
    <w:rsid w:val="00794B17"/>
    <w:rsid w:val="00831E9B"/>
    <w:rsid w:val="00877716"/>
    <w:rsid w:val="008A0282"/>
    <w:rsid w:val="008A3B5F"/>
    <w:rsid w:val="008A3E5B"/>
    <w:rsid w:val="008B4BBA"/>
    <w:rsid w:val="008B63D8"/>
    <w:rsid w:val="00904C98"/>
    <w:rsid w:val="00907DCF"/>
    <w:rsid w:val="00910B36"/>
    <w:rsid w:val="009424EF"/>
    <w:rsid w:val="00944171"/>
    <w:rsid w:val="00967E90"/>
    <w:rsid w:val="009B3CDD"/>
    <w:rsid w:val="009E0356"/>
    <w:rsid w:val="00A01378"/>
    <w:rsid w:val="00A47623"/>
    <w:rsid w:val="00A506F6"/>
    <w:rsid w:val="00AA3396"/>
    <w:rsid w:val="00AB6A68"/>
    <w:rsid w:val="00AF7E54"/>
    <w:rsid w:val="00B34F93"/>
    <w:rsid w:val="00B35AEA"/>
    <w:rsid w:val="00B35C9C"/>
    <w:rsid w:val="00B40BF1"/>
    <w:rsid w:val="00B7040E"/>
    <w:rsid w:val="00B746DC"/>
    <w:rsid w:val="00B84CB7"/>
    <w:rsid w:val="00B915FF"/>
    <w:rsid w:val="00B93700"/>
    <w:rsid w:val="00BC3E26"/>
    <w:rsid w:val="00C222F8"/>
    <w:rsid w:val="00C62930"/>
    <w:rsid w:val="00C750DF"/>
    <w:rsid w:val="00C835DB"/>
    <w:rsid w:val="00CB51EC"/>
    <w:rsid w:val="00CC0DA0"/>
    <w:rsid w:val="00CF4BF7"/>
    <w:rsid w:val="00D23483"/>
    <w:rsid w:val="00D415D4"/>
    <w:rsid w:val="00D50AC7"/>
    <w:rsid w:val="00D5467F"/>
    <w:rsid w:val="00D71860"/>
    <w:rsid w:val="00D84EF1"/>
    <w:rsid w:val="00DA5C93"/>
    <w:rsid w:val="00DC3B39"/>
    <w:rsid w:val="00DD64B8"/>
    <w:rsid w:val="00DE7478"/>
    <w:rsid w:val="00DF6696"/>
    <w:rsid w:val="00E3794F"/>
    <w:rsid w:val="00E53BF1"/>
    <w:rsid w:val="00E72AEA"/>
    <w:rsid w:val="00E73D35"/>
    <w:rsid w:val="00E762FB"/>
    <w:rsid w:val="00E87E68"/>
    <w:rsid w:val="00F510AB"/>
    <w:rsid w:val="00F6659B"/>
    <w:rsid w:val="00F72BA8"/>
    <w:rsid w:val="00FA605A"/>
    <w:rsid w:val="00FB2543"/>
    <w:rsid w:val="00FE19E4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EC2FBC3"/>
  <w15:chartTrackingRefBased/>
  <w15:docId w15:val="{EC7D52C0-E8D4-484D-ADAE-579AD41D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empty">
    <w:name w:val="empty"/>
    <w:rPr>
      <w:rFonts w:ascii="Times New Roman" w:hAnsi="Times New Roman" w:cs="Times New Roman" w:hint="default"/>
      <w:b/>
      <w:bCs/>
      <w:color w:val="auto"/>
    </w:rPr>
  </w:style>
  <w:style w:type="paragraph" w:customStyle="1" w:styleId="sectbody">
    <w:name w:val="sectbody"/>
    <w:basedOn w:val="Normal"/>
    <w:pPr>
      <w:spacing w:line="200" w:lineRule="atLeast"/>
      <w:jc w:val="both"/>
    </w:pPr>
    <w:rPr>
      <w:rFonts w:eastAsia="Arial Unicode MS"/>
      <w:sz w:val="20"/>
      <w:szCs w:val="20"/>
    </w:rPr>
  </w:style>
  <w:style w:type="paragraph" w:customStyle="1" w:styleId="sourcenote">
    <w:name w:val="sourcenote"/>
    <w:basedOn w:val="Normal"/>
    <w:pPr>
      <w:spacing w:after="200" w:line="200" w:lineRule="atLeast"/>
      <w:jc w:val="both"/>
    </w:pPr>
    <w:rPr>
      <w:rFonts w:eastAsia="Arial Unicode MS"/>
      <w:sz w:val="20"/>
      <w:szCs w:val="20"/>
    </w:rPr>
  </w:style>
  <w:style w:type="character" w:customStyle="1" w:styleId="leadline">
    <w:name w:val="leadline"/>
    <w:rPr>
      <w:rFonts w:ascii="Times New Roman" w:hAnsi="Times New Roman" w:cs="Times New Roman" w:hint="default"/>
      <w:b/>
      <w:bCs/>
      <w:color w:val="auto"/>
    </w:rPr>
  </w:style>
  <w:style w:type="character" w:customStyle="1" w:styleId="section">
    <w:name w:val="section"/>
    <w:rPr>
      <w:rFonts w:ascii="Times New Roman" w:hAnsi="Times New Roman" w:cs="Times New Roman" w:hint="default"/>
      <w:b/>
      <w:bCs/>
      <w:color w:val="auto"/>
    </w:rPr>
  </w:style>
  <w:style w:type="paragraph" w:styleId="BodyTextIndent2">
    <w:name w:val="Body Text Indent 2"/>
    <w:basedOn w:val="Normal"/>
    <w:pPr>
      <w:ind w:left="835"/>
    </w:pPr>
    <w:rPr>
      <w:rFonts w:ascii="Arial" w:hAnsi="Arial"/>
      <w:spacing w:val="-5"/>
      <w:sz w:val="22"/>
      <w:szCs w:val="20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605" w:hanging="605"/>
    </w:pPr>
    <w:rPr>
      <w:rFonts w:ascii="Arial" w:hAnsi="Arial" w:cs="Arial"/>
      <w:color w:val="000000"/>
    </w:rPr>
  </w:style>
  <w:style w:type="paragraph" w:styleId="BalloonText">
    <w:name w:val="Balloon Text"/>
    <w:basedOn w:val="Normal"/>
    <w:semiHidden/>
    <w:rsid w:val="00A476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2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F155-321E-4D70-99EF-85219772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1028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of the Bureaus and Programs of the Rehabilitation Division are to be provided to eligible individuals without discrim</vt:lpstr>
    </vt:vector>
  </TitlesOfParts>
  <Company>DETR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of the Bureaus and Programs of the Rehabilitation Division are to be provided to eligible individuals without discrim</dc:title>
  <dc:subject/>
  <dc:creator>hljohnson</dc:creator>
  <cp:keywords/>
  <cp:lastModifiedBy>Sheila Rasor</cp:lastModifiedBy>
  <cp:revision>2</cp:revision>
  <cp:lastPrinted>2015-06-17T19:42:00Z</cp:lastPrinted>
  <dcterms:created xsi:type="dcterms:W3CDTF">2019-11-01T19:17:00Z</dcterms:created>
  <dcterms:modified xsi:type="dcterms:W3CDTF">2019-11-01T19:17:00Z</dcterms:modified>
</cp:coreProperties>
</file>